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R4-2201456</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4.1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Further </w:t>
      </w:r>
      <w:r>
        <w:rPr>
          <w:rFonts w:hint="eastAsia" w:ascii="Arial" w:hAnsi="Arial" w:eastAsia="MS Mincho" w:cs="Arial"/>
          <w:b/>
          <w:sz w:val="24"/>
          <w:szCs w:val="24"/>
          <w:lang w:val="en-US" w:eastAsia="zh-CN"/>
        </w:rPr>
        <w:t>Discussion on BS Tx requirements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rPr>
      </w:pPr>
      <w:r>
        <w:rPr>
          <w:rFonts w:hint="eastAsia"/>
          <w:kern w:val="0"/>
          <w:sz w:val="20"/>
          <w:szCs w:val="20"/>
          <w:lang w:val="en-US" w:eastAsia="zh-CN"/>
        </w:rPr>
        <w:t>In the last RAN4 meeting, there were lots of progress for BS Tx requirements for 52.6-71GHz [2]. In this contribution, we want to share some further considerations on the remaining open issues for BS TX requirements.</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3"/>
      <w:bookmarkStart w:id="2" w:name="OLE_LINK14"/>
      <w:bookmarkStart w:id="3" w:name="OLE_LINK10"/>
      <w:bookmarkStart w:id="4" w:name="OLE_LINK20"/>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2.1.TAE requirements for MIMO, CA case</w:t>
      </w:r>
    </w:p>
    <w:p>
      <w:pPr>
        <w:rPr>
          <w:rFonts w:hint="default"/>
          <w:kern w:val="0"/>
          <w:sz w:val="20"/>
          <w:szCs w:val="20"/>
          <w:lang w:val="en-US" w:eastAsia="zh-CN"/>
        </w:rPr>
      </w:pPr>
      <w:r>
        <w:rPr>
          <w:rFonts w:hint="eastAsia"/>
          <w:kern w:val="0"/>
          <w:sz w:val="20"/>
          <w:szCs w:val="20"/>
          <w:lang w:val="en-US" w:eastAsia="zh-CN"/>
        </w:rPr>
        <w:t>As discussed in 60GHz SI phase, it was recognized that TAE 65ns for MIMO transmission might be not valid anymore especially considering the CP length for 960kHz SCS as shown in Table 1. TAE 65ns is almost close to CP length of 960kHz which would result in serious performance degradation at UE receiver side, we provided some initial simulation results are provided in Figure 1 and Figure 2 to show the impacts of different TAE values on downlink performance. Detailed simulation assumptions are listed in Annex 5.</w:t>
      </w:r>
    </w:p>
    <w:p>
      <w:pPr>
        <w:jc w:val="center"/>
        <w:rPr>
          <w:rFonts w:hint="default"/>
          <w:kern w:val="0"/>
          <w:sz w:val="20"/>
          <w:szCs w:val="20"/>
          <w:lang w:val="en-US" w:eastAsia="zh-CN"/>
        </w:rPr>
      </w:pPr>
      <w:r>
        <w:rPr>
          <w:rFonts w:hint="eastAsia" w:ascii="Times New Roman" w:hAnsi="Times New Roman" w:cs="Times New Roman"/>
          <w:b/>
          <w:bCs/>
          <w:sz w:val="20"/>
          <w:szCs w:val="20"/>
          <w:lang w:val="en-US" w:eastAsia="zh-CN"/>
        </w:rPr>
        <w:t>Table 1. Summary for CP and data length for different SCS</w:t>
      </w:r>
    </w:p>
    <w:tbl>
      <w:tblPr>
        <w:tblStyle w:val="21"/>
        <w:tblW w:w="74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8"/>
        <w:gridCol w:w="1652"/>
        <w:gridCol w:w="1515"/>
        <w:gridCol w:w="1738"/>
        <w:gridCol w:w="2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u</w:t>
            </w:r>
          </w:p>
        </w:tc>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SCS</w:t>
            </w:r>
          </w:p>
        </w:tc>
        <w:tc>
          <w:tcPr>
            <w:tcW w:w="151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CP[ns]</w:t>
            </w:r>
          </w:p>
        </w:tc>
        <w:tc>
          <w:tcPr>
            <w:tcW w:w="173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data[ns]</w:t>
            </w:r>
          </w:p>
        </w:tc>
        <w:tc>
          <w:tcPr>
            <w:tcW w:w="207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Sampling Rate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1171.875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16666.6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1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120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585.9375</w:t>
            </w:r>
          </w:p>
        </w:tc>
        <w:tc>
          <w:tcPr>
            <w:tcW w:w="173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8333.3</w:t>
            </w:r>
          </w:p>
        </w:tc>
        <w:tc>
          <w:tcPr>
            <w:tcW w:w="207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491.52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292.96875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4166.6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983.04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480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146.484375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2083.3</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1966.08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73.2421875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1041.6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3932.16</w:t>
            </w:r>
          </w:p>
        </w:tc>
      </w:tr>
    </w:tbl>
    <w:p>
      <w:pPr>
        <w:rPr>
          <w:rFonts w:hint="eastAsia"/>
          <w:kern w:val="0"/>
          <w:sz w:val="20"/>
          <w:szCs w:val="20"/>
          <w:lang w:val="en-US" w:eastAsia="zh-CN"/>
        </w:rPr>
      </w:pPr>
    </w:p>
    <w:p>
      <w:pPr>
        <w:jc w:val="center"/>
      </w:pPr>
      <w:r>
        <w:drawing>
          <wp:inline distT="0" distB="0" distL="114300" distR="114300">
            <wp:extent cx="5343525" cy="401002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5343525" cy="4010025"/>
                    </a:xfrm>
                    <a:prstGeom prst="rect">
                      <a:avLst/>
                    </a:prstGeom>
                    <a:noFill/>
                    <a:ln>
                      <a:noFill/>
                    </a:ln>
                  </pic:spPr>
                </pic:pic>
              </a:graphicData>
            </a:graphic>
          </wp:inline>
        </w:drawing>
      </w:r>
    </w:p>
    <w:p>
      <w:pPr>
        <w:jc w:val="center"/>
        <w:rPr>
          <w:rFonts w:hint="eastAsia"/>
          <w:kern w:val="0"/>
          <w:sz w:val="20"/>
          <w:szCs w:val="20"/>
          <w:lang w:val="en-US" w:eastAsia="zh-CN"/>
        </w:rPr>
      </w:pPr>
      <w:r>
        <w:rPr>
          <w:rFonts w:hint="eastAsia"/>
          <w:kern w:val="0"/>
          <w:sz w:val="20"/>
          <w:szCs w:val="20"/>
          <w:lang w:val="en-US" w:eastAsia="zh-CN"/>
        </w:rPr>
        <w:t>Figure 1. the impacts of TAE on downlink link performance [960kHz]</w:t>
      </w:r>
    </w:p>
    <w:p>
      <w:pPr>
        <w:jc w:val="center"/>
        <w:rPr>
          <w:rFonts w:hint="eastAsia"/>
          <w:lang w:val="en-US" w:eastAsia="zh-CN"/>
        </w:rPr>
      </w:pPr>
      <w:r>
        <w:drawing>
          <wp:inline distT="0" distB="0" distL="114300" distR="114300">
            <wp:extent cx="5343525" cy="4010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343525" cy="4010025"/>
                    </a:xfrm>
                    <a:prstGeom prst="rect">
                      <a:avLst/>
                    </a:prstGeom>
                    <a:noFill/>
                    <a:ln>
                      <a:noFill/>
                    </a:ln>
                  </pic:spPr>
                </pic:pic>
              </a:graphicData>
            </a:graphic>
          </wp:inline>
        </w:drawing>
      </w:r>
    </w:p>
    <w:p>
      <w:pPr>
        <w:jc w:val="center"/>
        <w:rPr>
          <w:rFonts w:hint="default"/>
          <w:kern w:val="0"/>
          <w:sz w:val="20"/>
          <w:szCs w:val="20"/>
          <w:lang w:val="en-US" w:eastAsia="zh-CN"/>
        </w:rPr>
      </w:pPr>
      <w:r>
        <w:rPr>
          <w:rFonts w:hint="eastAsia"/>
          <w:kern w:val="0"/>
          <w:sz w:val="20"/>
          <w:szCs w:val="20"/>
          <w:lang w:val="en-US" w:eastAsia="zh-CN"/>
        </w:rPr>
        <w:t>Figure 2. the impacts of TAE on downlink link performance [480kHz]</w:t>
      </w:r>
    </w:p>
    <w:p>
      <w:pPr>
        <w:rPr>
          <w:rFonts w:hint="eastAsia"/>
          <w:kern w:val="0"/>
          <w:sz w:val="20"/>
          <w:szCs w:val="20"/>
          <w:lang w:val="en-US" w:eastAsia="zh-CN"/>
        </w:rPr>
      </w:pPr>
      <w:r>
        <w:rPr>
          <w:rFonts w:hint="eastAsia"/>
          <w:kern w:val="0"/>
          <w:sz w:val="20"/>
          <w:szCs w:val="20"/>
          <w:lang w:val="en-US" w:eastAsia="zh-CN"/>
        </w:rPr>
        <w:t xml:space="preserve">Based on the initial simulation results in Figure 1 and Figure 2, it could be easily found that 65ns TAE would cause severe performance degradation especially for 960kHz. </w:t>
      </w:r>
    </w:p>
    <w:p>
      <w:pPr>
        <w:rPr>
          <w:rFonts w:hint="eastAsia"/>
          <w:kern w:val="0"/>
          <w:sz w:val="20"/>
          <w:szCs w:val="20"/>
          <w:lang w:val="en-US" w:eastAsia="zh-CN"/>
        </w:rPr>
      </w:pPr>
      <w:r>
        <w:rPr>
          <w:rFonts w:hint="eastAsia"/>
          <w:kern w:val="0"/>
          <w:sz w:val="20"/>
          <w:szCs w:val="20"/>
          <w:lang w:val="en-US" w:eastAsia="zh-CN"/>
        </w:rPr>
        <w:t xml:space="preserve">For 960kHz SCS, the acceptable TAE requirement should be around 10-20ns for 960kHz and 10-40ns for 480kHz, </w:t>
      </w:r>
    </w:p>
    <w:p>
      <w:pPr>
        <w:rPr>
          <w:rFonts w:hint="default"/>
          <w:kern w:val="0"/>
          <w:sz w:val="20"/>
          <w:szCs w:val="20"/>
          <w:lang w:val="en-US" w:eastAsia="zh-CN"/>
        </w:rPr>
      </w:pPr>
      <w:r>
        <w:rPr>
          <w:rFonts w:hint="eastAsia"/>
          <w:kern w:val="0"/>
          <w:sz w:val="20"/>
          <w:szCs w:val="20"/>
          <w:lang w:val="en-US" w:eastAsia="zh-CN"/>
        </w:rPr>
        <w:t>Based on the discussion in last RAN4 meeting, we made the following proposal；</w:t>
      </w:r>
    </w:p>
    <w:p>
      <w:pPr>
        <w:rPr>
          <w:rFonts w:hint="eastAsia"/>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xml:space="preserve"> propose MIMO TAE requirement as 16.25ns for 960kHz and 32.5ns for 480kHz;</w:t>
      </w:r>
    </w:p>
    <w:p>
      <w:pPr>
        <w:rPr>
          <w:rFonts w:hint="eastAsia"/>
          <w:kern w:val="0"/>
          <w:sz w:val="20"/>
          <w:szCs w:val="20"/>
          <w:lang w:val="en-US" w:eastAsia="zh-CN"/>
        </w:rPr>
      </w:pPr>
      <w:r>
        <w:rPr>
          <w:rFonts w:hint="eastAsia"/>
          <w:kern w:val="0"/>
          <w:sz w:val="20"/>
          <w:szCs w:val="20"/>
          <w:lang w:val="en-US" w:eastAsia="zh-CN"/>
        </w:rPr>
        <w:t>Regarding the band combinations within FR2-2 and among FR2-1 and FR2-2, it has been postponed to Rel-18 timeframe [8], therefore we think that it is not necessary to define it in Rel-18. In addition, for band combination for FR1 and FR2-2, since it</w:t>
      </w:r>
      <w:r>
        <w:rPr>
          <w:rFonts w:hint="default"/>
          <w:kern w:val="0"/>
          <w:sz w:val="20"/>
          <w:szCs w:val="20"/>
          <w:lang w:val="en-US" w:eastAsia="zh-CN"/>
        </w:rPr>
        <w:t>’</w:t>
      </w:r>
      <w:r>
        <w:rPr>
          <w:rFonts w:hint="eastAsia"/>
          <w:kern w:val="0"/>
          <w:sz w:val="20"/>
          <w:szCs w:val="20"/>
          <w:lang w:val="en-US" w:eastAsia="zh-CN"/>
        </w:rPr>
        <w:t>s different BS equipment deployed at the end, therefore CA related TAE requirement is also not necessary. Based on the above considerations, we made the following proposals:</w:t>
      </w:r>
    </w:p>
    <w:p>
      <w:pPr>
        <w:rPr>
          <w:rFonts w:hint="default"/>
          <w:b w:val="0"/>
          <w:bCs w:val="0"/>
          <w:kern w:val="0"/>
          <w:sz w:val="20"/>
          <w:szCs w:val="20"/>
          <w:lang w:val="en-US" w:eastAsia="zh-CN"/>
        </w:rPr>
      </w:pPr>
      <w:r>
        <w:rPr>
          <w:rFonts w:hint="eastAsia"/>
          <w:b/>
          <w:bCs/>
          <w:kern w:val="0"/>
          <w:sz w:val="20"/>
          <w:szCs w:val="20"/>
          <w:lang w:val="en-US" w:eastAsia="zh-CN"/>
        </w:rPr>
        <w:t>Proposal 2:</w:t>
      </w:r>
      <w:r>
        <w:rPr>
          <w:rFonts w:hint="eastAsia"/>
          <w:b w:val="0"/>
          <w:bCs w:val="0"/>
          <w:kern w:val="0"/>
          <w:sz w:val="20"/>
          <w:szCs w:val="20"/>
          <w:lang w:val="en-US" w:eastAsia="zh-CN"/>
        </w:rPr>
        <w:t xml:space="preserve"> postpone CA TAE requirement to Rel-18 timeframe;</w:t>
      </w:r>
    </w:p>
    <w:p>
      <w:pPr>
        <w:rPr>
          <w:rFonts w:hint="eastAsia"/>
          <w:kern w:val="0"/>
          <w:sz w:val="20"/>
          <w:szCs w:val="20"/>
          <w:lang w:val="en-US" w:eastAsia="zh-CN"/>
        </w:rPr>
      </w:pPr>
    </w:p>
    <w:p>
      <w:pPr>
        <w:jc w:val="both"/>
        <w:rPr>
          <w:rFonts w:eastAsiaTheme="minorEastAsia"/>
          <w:iCs/>
          <w:lang w:val="en-US" w:eastAsia="zh-CN"/>
        </w:rPr>
      </w:pPr>
      <w:r>
        <w:rPr>
          <w:rFonts w:eastAsiaTheme="minorEastAsia"/>
          <w:b/>
          <w:bCs/>
          <w:iCs/>
          <w:highlight w:val="green"/>
          <w:lang w:val="en-US" w:eastAsia="zh-CN"/>
        </w:rPr>
        <w:t>Agreement:</w:t>
      </w:r>
    </w:p>
    <w:p>
      <w:pPr>
        <w:pStyle w:val="31"/>
        <w:numPr>
          <w:ilvl w:val="0"/>
          <w:numId w:val="2"/>
        </w:numPr>
        <w:spacing w:after="120"/>
        <w:ind w:right="166" w:firstLineChars="0"/>
        <w:jc w:val="both"/>
        <w:rPr>
          <w:szCs w:val="24"/>
          <w:lang w:val="en-US" w:eastAsia="zh-CN"/>
        </w:rPr>
      </w:pPr>
      <w:r>
        <w:rPr>
          <w:szCs w:val="24"/>
          <w:lang w:val="en-US" w:eastAsia="zh-CN"/>
        </w:rPr>
        <w:t>Postpone consideration of the following CA/DC band combinations to the Rel-18 timeframe:</w:t>
      </w:r>
    </w:p>
    <w:p>
      <w:pPr>
        <w:pStyle w:val="31"/>
        <w:numPr>
          <w:ilvl w:val="1"/>
          <w:numId w:val="2"/>
        </w:numPr>
        <w:spacing w:after="120"/>
        <w:ind w:right="166" w:firstLineChars="0"/>
        <w:jc w:val="both"/>
        <w:rPr>
          <w:szCs w:val="24"/>
          <w:lang w:val="en-US" w:eastAsia="zh-CN"/>
        </w:rPr>
      </w:pPr>
      <w:r>
        <w:rPr>
          <w:szCs w:val="24"/>
          <w:lang w:val="en-US" w:eastAsia="zh-CN"/>
        </w:rPr>
        <w:t>Band combinations within FR2-2</w:t>
      </w:r>
    </w:p>
    <w:p>
      <w:pPr>
        <w:pStyle w:val="31"/>
        <w:numPr>
          <w:ilvl w:val="1"/>
          <w:numId w:val="2"/>
        </w:numPr>
        <w:spacing w:after="120"/>
        <w:ind w:right="166" w:firstLineChars="0"/>
        <w:jc w:val="both"/>
        <w:rPr>
          <w:szCs w:val="24"/>
          <w:lang w:val="en-US" w:eastAsia="zh-CN"/>
        </w:rPr>
      </w:pPr>
      <w:r>
        <w:rPr>
          <w:szCs w:val="24"/>
          <w:lang w:val="en-US" w:eastAsia="zh-CN"/>
        </w:rPr>
        <w:t>Band combinations among FR2-1 and FR2-2</w:t>
      </w:r>
    </w:p>
    <w:p>
      <w:pPr>
        <w:pStyle w:val="31"/>
        <w:numPr>
          <w:ilvl w:val="0"/>
          <w:numId w:val="2"/>
        </w:numPr>
        <w:spacing w:after="120"/>
        <w:ind w:right="166" w:firstLineChars="0"/>
        <w:jc w:val="both"/>
        <w:rPr>
          <w:szCs w:val="24"/>
          <w:lang w:val="en-US" w:eastAsia="zh-CN"/>
        </w:rPr>
      </w:pPr>
      <w:r>
        <w:rPr>
          <w:szCs w:val="24"/>
          <w:lang w:val="en-US" w:eastAsia="zh-CN"/>
        </w:rPr>
        <w:t>Limit Rel-17 consideration of FR2-2 inter-band scenarios to two bands, before studying higher order configurations, i.e., one FR1 band + one FR2-2 band.</w:t>
      </w:r>
    </w:p>
    <w:p>
      <w:pPr>
        <w:pStyle w:val="31"/>
        <w:numPr>
          <w:ilvl w:val="1"/>
          <w:numId w:val="2"/>
        </w:numPr>
        <w:spacing w:after="120"/>
        <w:ind w:right="166" w:firstLineChars="0"/>
        <w:jc w:val="both"/>
        <w:rPr>
          <w:rFonts w:hint="eastAsia"/>
          <w:kern w:val="0"/>
          <w:sz w:val="20"/>
          <w:szCs w:val="20"/>
          <w:lang w:val="en-US" w:eastAsia="zh-CN"/>
        </w:rPr>
      </w:pPr>
      <w:r>
        <w:rPr>
          <w:i/>
          <w:iCs/>
          <w:szCs w:val="24"/>
          <w:lang w:val="en-US" w:eastAsia="zh-CN"/>
        </w:rPr>
        <w:t>Also subject to availability of the regulatory framework for licensed FR2-2 band</w:t>
      </w:r>
    </w:p>
    <w:p>
      <w:pPr>
        <w:rPr>
          <w:rFonts w:hint="default"/>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eastAsia="宋体" w:cs="Arial"/>
          <w:kern w:val="0"/>
          <w:sz w:val="24"/>
          <w:szCs w:val="24"/>
          <w:lang w:val="en-US" w:eastAsia="zh-CN"/>
        </w:rPr>
      </w:pPr>
      <w:r>
        <w:rPr>
          <w:rFonts w:hint="eastAsia" w:ascii="Arial" w:hAnsi="Arial" w:eastAsia="宋体" w:cs="Arial"/>
          <w:kern w:val="0"/>
          <w:sz w:val="24"/>
          <w:szCs w:val="24"/>
          <w:lang w:val="en-US" w:eastAsia="zh-CN"/>
        </w:rPr>
        <w:t>2.</w:t>
      </w:r>
      <w:r>
        <w:rPr>
          <w:rFonts w:hint="eastAsia" w:ascii="Arial" w:hAnsi="Arial" w:cs="Arial"/>
          <w:kern w:val="0"/>
          <w:sz w:val="24"/>
          <w:szCs w:val="24"/>
          <w:lang w:val="en-US" w:eastAsia="zh-CN"/>
        </w:rPr>
        <w:t>2</w:t>
      </w:r>
      <w:r>
        <w:rPr>
          <w:rFonts w:hint="eastAsia" w:ascii="Arial" w:hAnsi="Arial" w:eastAsia="宋体" w:cs="Arial"/>
          <w:kern w:val="0"/>
          <w:sz w:val="24"/>
          <w:szCs w:val="24"/>
          <w:lang w:val="en-US" w:eastAsia="zh-CN"/>
        </w:rPr>
        <w:t>. Unwanted emission requirements</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eastAsia="宋体" w:cs="Times New Roman"/>
          <w:kern w:val="0"/>
          <w:sz w:val="20"/>
          <w:szCs w:val="20"/>
          <w:lang w:val="en-US" w:eastAsia="zh-CN" w:bidi="ar-SA"/>
        </w:rPr>
      </w:pPr>
      <w:r>
        <w:rPr>
          <w:rFonts w:hint="eastAsia"/>
          <w:kern w:val="0"/>
          <w:sz w:val="20"/>
          <w:szCs w:val="20"/>
          <w:highlight w:val="none"/>
          <w:lang w:val="en-US" w:eastAsia="zh-CN"/>
        </w:rPr>
        <w:t xml:space="preserve">In the last RAN4 meeting, </w:t>
      </w:r>
      <w:r>
        <w:rPr>
          <w:rFonts w:hint="eastAsia" w:eastAsia="宋体"/>
          <w:kern w:val="0"/>
          <w:sz w:val="20"/>
          <w:szCs w:val="20"/>
          <w:highlight w:val="none"/>
          <w:lang w:val="en-US" w:eastAsia="zh-CN"/>
        </w:rPr>
        <w:t>there were some</w:t>
      </w:r>
      <w:r>
        <w:rPr>
          <w:rFonts w:hint="eastAsia"/>
          <w:kern w:val="0"/>
          <w:sz w:val="20"/>
          <w:szCs w:val="20"/>
          <w:highlight w:val="none"/>
          <w:lang w:val="en-US" w:eastAsia="zh-CN"/>
        </w:rPr>
        <w:t xml:space="preserve"> </w:t>
      </w:r>
      <w:r>
        <w:rPr>
          <w:rFonts w:hint="eastAsia" w:eastAsia="宋体"/>
          <w:kern w:val="0"/>
          <w:sz w:val="20"/>
          <w:szCs w:val="20"/>
          <w:highlight w:val="none"/>
          <w:lang w:val="en-US" w:eastAsia="zh-CN"/>
        </w:rPr>
        <w:t xml:space="preserve">discussions to further evaluate coexistence performance for </w:t>
      </w:r>
      <w:r>
        <w:rPr>
          <w:rFonts w:hint="eastAsia"/>
          <w:kern w:val="0"/>
          <w:sz w:val="20"/>
          <w:szCs w:val="20"/>
          <w:highlight w:val="none"/>
          <w:lang w:val="en-US" w:eastAsia="zh-CN"/>
        </w:rPr>
        <w:t>52.6-71</w:t>
      </w:r>
      <w:r>
        <w:rPr>
          <w:rFonts w:hint="eastAsia" w:eastAsia="宋体"/>
          <w:kern w:val="0"/>
          <w:sz w:val="20"/>
          <w:szCs w:val="20"/>
          <w:highlight w:val="none"/>
          <w:lang w:val="en-US" w:eastAsia="zh-CN"/>
        </w:rPr>
        <w:t xml:space="preserve">GHz </w:t>
      </w:r>
      <w:r>
        <w:rPr>
          <w:rFonts w:hint="eastAsia"/>
          <w:kern w:val="0"/>
          <w:sz w:val="20"/>
          <w:szCs w:val="20"/>
          <w:highlight w:val="none"/>
          <w:lang w:val="en-US" w:eastAsia="zh-CN"/>
        </w:rPr>
        <w:t>or</w:t>
      </w:r>
      <w:r>
        <w:rPr>
          <w:rFonts w:hint="eastAsia" w:eastAsia="宋体"/>
          <w:kern w:val="0"/>
          <w:sz w:val="20"/>
          <w:szCs w:val="20"/>
          <w:highlight w:val="none"/>
          <w:lang w:val="en-US" w:eastAsia="zh-CN"/>
        </w:rPr>
        <w:t xml:space="preserve"> coexistence work in TR 38.803 can be used as reference. </w:t>
      </w:r>
      <w:r>
        <w:rPr>
          <w:rFonts w:hint="eastAsia"/>
          <w:kern w:val="0"/>
          <w:sz w:val="20"/>
          <w:szCs w:val="20"/>
          <w:highlight w:val="none"/>
          <w:lang w:val="en-US" w:eastAsia="zh-CN"/>
        </w:rPr>
        <w:t xml:space="preserve">As discussed in the companion contribution [7], </w:t>
      </w:r>
      <w:r>
        <w:rPr>
          <w:rFonts w:hint="eastAsia"/>
          <w:lang w:val="en-US" w:eastAsia="zh-CN"/>
        </w:rPr>
        <w:t xml:space="preserve">based on summarized results in [9] and technology capabilities captured in TR 38.808 and TR38.803, we are fine to follow the existing requirements in TR 38.803 for 52.6-71GHz with ACLR and ACS requirement </w:t>
      </w:r>
      <w:r>
        <w:rPr>
          <w:rFonts w:hint="eastAsia" w:ascii="Times New Roman" w:hAnsi="Times New Roman" w:eastAsia="宋体" w:cs="Times New Roman"/>
          <w:kern w:val="0"/>
          <w:sz w:val="20"/>
          <w:szCs w:val="20"/>
          <w:lang w:val="en-US" w:eastAsia="zh-CN" w:bidi="ar-SA"/>
        </w:rPr>
        <w:t>round up to nearest integer</w:t>
      </w:r>
      <w:r>
        <w:rPr>
          <w:rFonts w:hint="eastAsia" w:eastAsia="宋体" w:cs="Times New Roman"/>
          <w:kern w:val="0"/>
          <w:sz w:val="20"/>
          <w:szCs w:val="20"/>
          <w:lang w:val="en-US" w:eastAsia="zh-CN" w:bidi="ar-SA"/>
        </w:rPr>
        <w:t>.</w:t>
      </w:r>
    </w:p>
    <w:p>
      <w:pPr>
        <w:rPr>
          <w:rFonts w:hint="eastAsia" w:eastAsia="宋体" w:cs="Times New Roman"/>
          <w:kern w:val="0"/>
          <w:sz w:val="20"/>
          <w:szCs w:val="20"/>
          <w:lang w:val="en-US" w:eastAsia="zh-CN" w:bidi="ar-SA"/>
        </w:rPr>
      </w:pPr>
      <w:r>
        <w:rPr>
          <w:rFonts w:hint="eastAsia"/>
          <w:b/>
          <w:bCs/>
          <w:kern w:val="0"/>
          <w:sz w:val="20"/>
          <w:szCs w:val="20"/>
          <w:highlight w:val="none"/>
          <w:lang w:val="en-US" w:eastAsia="zh-CN"/>
        </w:rPr>
        <w:t>Proposal 3:</w:t>
      </w:r>
      <w:r>
        <w:rPr>
          <w:rFonts w:hint="eastAsia"/>
          <w:lang w:val="en-US" w:eastAsia="zh-CN"/>
        </w:rPr>
        <w:t xml:space="preserve"> to reuse the existing requirement in TR 38.803 for 52.6-71GHz with </w:t>
      </w:r>
      <w:r>
        <w:rPr>
          <w:rFonts w:hint="eastAsia" w:ascii="Times New Roman" w:hAnsi="Times New Roman" w:eastAsia="宋体" w:cs="Times New Roman"/>
          <w:kern w:val="0"/>
          <w:sz w:val="20"/>
          <w:szCs w:val="20"/>
          <w:lang w:val="en-US" w:eastAsia="zh-CN" w:bidi="ar-SA"/>
        </w:rPr>
        <w:t>round up to nearest integer</w:t>
      </w:r>
      <w:r>
        <w:rPr>
          <w:rFonts w:hint="eastAsia" w:eastAsia="宋体" w:cs="Times New Roman"/>
          <w:kern w:val="0"/>
          <w:sz w:val="20"/>
          <w:szCs w:val="20"/>
          <w:lang w:val="en-US" w:eastAsia="zh-CN" w:bidi="ar-SA"/>
        </w:rPr>
        <w:t>.</w:t>
      </w:r>
    </w:p>
    <w:p>
      <w:pPr>
        <w:pStyle w:val="44"/>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kern w:val="0"/>
          <w:sz w:val="20"/>
          <w:szCs w:val="20"/>
          <w:lang w:val="en-US" w:eastAsia="zh-CN"/>
        </w:rPr>
      </w:pPr>
      <w:r>
        <w:rPr>
          <w:rFonts w:hint="eastAsia" w:ascii="Arial" w:hAnsi="Arial" w:cs="Arial"/>
          <w:kern w:val="0"/>
          <w:sz w:val="24"/>
          <w:szCs w:val="24"/>
          <w:lang w:val="en-US" w:eastAsia="zh-CN"/>
        </w:rPr>
        <w:t>2.3. EVM requirements for 52.6-71GHz</w:t>
      </w:r>
    </w:p>
    <w:p>
      <w:pPr>
        <w:rPr>
          <w:rFonts w:hint="default"/>
          <w:kern w:val="0"/>
          <w:sz w:val="20"/>
          <w:szCs w:val="20"/>
          <w:lang w:val="en-US" w:eastAsia="zh-CN"/>
        </w:rPr>
      </w:pPr>
      <w:r>
        <w:rPr>
          <w:rFonts w:hint="eastAsia"/>
          <w:kern w:val="0"/>
          <w:sz w:val="20"/>
          <w:szCs w:val="20"/>
          <w:lang w:val="en-US" w:eastAsia="zh-CN"/>
        </w:rPr>
        <w:t>Regarding EVM window length for 52.6-71GHz, since this requirement is mainly related with waveform used implemented to meet the out of band emissions and in-band EVM requirement, based on the proposal 2 and the agreements made in the previous meetings, therefore we think that current [50%] EVM window length could be reused.</w:t>
      </w:r>
    </w:p>
    <w:p>
      <w:pPr>
        <w:rPr>
          <w:rFonts w:hint="default" w:eastAsia="宋体" w:cs="Times New Roman"/>
          <w:kern w:val="0"/>
          <w:sz w:val="20"/>
          <w:szCs w:val="20"/>
          <w:lang w:val="en-US" w:eastAsia="zh-CN" w:bidi="ar-SA"/>
        </w:rPr>
      </w:pPr>
      <w:r>
        <w:rPr>
          <w:rFonts w:hint="eastAsia"/>
          <w:b/>
          <w:bCs/>
          <w:kern w:val="0"/>
          <w:sz w:val="20"/>
          <w:szCs w:val="20"/>
          <w:lang w:val="en-US" w:eastAsia="zh-CN"/>
        </w:rPr>
        <w:t>Proposal 4</w:t>
      </w:r>
      <w:r>
        <w:rPr>
          <w:rFonts w:hint="eastAsia"/>
          <w:kern w:val="0"/>
          <w:sz w:val="20"/>
          <w:szCs w:val="20"/>
          <w:lang w:val="en-US" w:eastAsia="zh-CN"/>
        </w:rPr>
        <w:t>: fine to reuse the 50% EVM window length for FR2-2.</w:t>
      </w: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rPr>
          <w:rFonts w:hint="eastAsia"/>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xml:space="preserve"> propose MIMO TAE requirement as 16.25ns for 960kHz and 32.5ns for 480kHz;</w:t>
      </w:r>
    </w:p>
    <w:p>
      <w:pPr>
        <w:rPr>
          <w:rFonts w:hint="default"/>
          <w:b w:val="0"/>
          <w:bCs w:val="0"/>
          <w:kern w:val="0"/>
          <w:sz w:val="20"/>
          <w:szCs w:val="20"/>
          <w:lang w:val="en-US" w:eastAsia="zh-CN"/>
        </w:rPr>
      </w:pPr>
      <w:r>
        <w:rPr>
          <w:rFonts w:hint="eastAsia"/>
          <w:b/>
          <w:bCs/>
          <w:kern w:val="0"/>
          <w:sz w:val="20"/>
          <w:szCs w:val="20"/>
          <w:lang w:val="en-US" w:eastAsia="zh-CN"/>
        </w:rPr>
        <w:t>Proposal 2:</w:t>
      </w:r>
      <w:r>
        <w:rPr>
          <w:rFonts w:hint="eastAsia"/>
          <w:b w:val="0"/>
          <w:bCs w:val="0"/>
          <w:kern w:val="0"/>
          <w:sz w:val="20"/>
          <w:szCs w:val="20"/>
          <w:lang w:val="en-US" w:eastAsia="zh-CN"/>
        </w:rPr>
        <w:t xml:space="preserve"> postpone CA TAE requirement to Rel-18 timeframe;</w:t>
      </w:r>
    </w:p>
    <w:p>
      <w:pPr>
        <w:rPr>
          <w:rFonts w:hint="eastAsia" w:eastAsia="宋体" w:cs="Times New Roman"/>
          <w:kern w:val="0"/>
          <w:sz w:val="20"/>
          <w:szCs w:val="20"/>
          <w:lang w:val="en-US" w:eastAsia="zh-CN" w:bidi="ar-SA"/>
        </w:rPr>
      </w:pPr>
      <w:r>
        <w:rPr>
          <w:rFonts w:hint="eastAsia"/>
          <w:b/>
          <w:bCs/>
          <w:kern w:val="0"/>
          <w:sz w:val="20"/>
          <w:szCs w:val="20"/>
          <w:highlight w:val="none"/>
          <w:lang w:val="en-US" w:eastAsia="zh-CN"/>
        </w:rPr>
        <w:t>Proposal 3:</w:t>
      </w:r>
      <w:r>
        <w:rPr>
          <w:rFonts w:hint="eastAsia"/>
          <w:lang w:val="en-US" w:eastAsia="zh-CN"/>
        </w:rPr>
        <w:t xml:space="preserve"> to reuse the existing requirement in TR 38.803 for 52.6-71GHz with </w:t>
      </w:r>
      <w:r>
        <w:rPr>
          <w:rFonts w:hint="eastAsia" w:ascii="Times New Roman" w:hAnsi="Times New Roman" w:eastAsia="宋体" w:cs="Times New Roman"/>
          <w:kern w:val="0"/>
          <w:sz w:val="20"/>
          <w:szCs w:val="20"/>
          <w:lang w:val="en-US" w:eastAsia="zh-CN" w:bidi="ar-SA"/>
        </w:rPr>
        <w:t>round up to nearest integer</w:t>
      </w:r>
      <w:r>
        <w:rPr>
          <w:rFonts w:hint="eastAsia" w:eastAsia="宋体" w:cs="Times New Roman"/>
          <w:kern w:val="0"/>
          <w:sz w:val="20"/>
          <w:szCs w:val="20"/>
          <w:lang w:val="en-US" w:eastAsia="zh-CN" w:bidi="ar-SA"/>
        </w:rPr>
        <w:t>.</w:t>
      </w:r>
    </w:p>
    <w:p>
      <w:pPr>
        <w:rPr>
          <w:rFonts w:hint="eastAsia"/>
          <w:kern w:val="0"/>
          <w:sz w:val="20"/>
          <w:szCs w:val="20"/>
          <w:lang w:val="en-US" w:eastAsia="zh-CN"/>
        </w:rPr>
      </w:pPr>
      <w:r>
        <w:rPr>
          <w:rFonts w:hint="eastAsia"/>
          <w:b/>
          <w:bCs/>
          <w:kern w:val="0"/>
          <w:sz w:val="20"/>
          <w:szCs w:val="20"/>
          <w:lang w:val="en-US" w:eastAsia="zh-CN"/>
        </w:rPr>
        <w:t>Proposal 4</w:t>
      </w:r>
      <w:r>
        <w:rPr>
          <w:rFonts w:hint="eastAsia"/>
          <w:kern w:val="0"/>
          <w:sz w:val="20"/>
          <w:szCs w:val="20"/>
          <w:lang w:val="en-US" w:eastAsia="zh-CN"/>
        </w:rPr>
        <w:t>: fine to reuse the 50% EVM window length for FR2-2.</w:t>
      </w:r>
    </w:p>
    <w:p>
      <w:pPr>
        <w:pStyle w:val="53"/>
        <w:tabs>
          <w:tab w:val="left" w:pos="567"/>
          <w:tab w:val="clear" w:pos="1985"/>
        </w:tabs>
        <w:adjustRightInd w:val="0"/>
        <w:ind w:left="510" w:hanging="510"/>
      </w:pPr>
      <w:r>
        <w:t>References</w:t>
      </w:r>
    </w:p>
    <w:p>
      <w:pPr>
        <w:pStyle w:val="51"/>
        <w:numPr>
          <w:ilvl w:val="0"/>
          <w:numId w:val="3"/>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R4-2106113</w:t>
      </w:r>
      <w:r>
        <w:rPr>
          <w:rFonts w:hint="eastAsia"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RF TX requirements for 52.6 – 71 GHz, approved.</w:t>
      </w:r>
    </w:p>
    <w:p>
      <w:pPr>
        <w:pStyle w:val="51"/>
        <w:numPr>
          <w:ilvl w:val="0"/>
          <w:numId w:val="3"/>
        </w:numPr>
        <w:ind w:left="0" w:leftChars="0" w:firstLine="0" w:firstLineChars="0"/>
        <w:rPr>
          <w:rFonts w:hint="default" w:eastAsia="宋体" w:cs="Times New Roman"/>
          <w:b w:val="0"/>
          <w:i w:val="0"/>
          <w:color w:val="000000"/>
          <w:spacing w:val="0"/>
          <w:sz w:val="18"/>
          <w:szCs w:val="18"/>
          <w:shd w:val="clear" w:fill="FFFFFF"/>
          <w:lang w:val="en-US" w:eastAsia="zh-CN"/>
        </w:rPr>
      </w:pPr>
      <w:r>
        <w:rPr>
          <w:rFonts w:hint="default" w:eastAsia="宋体" w:cs="Times New Roman"/>
          <w:b w:val="0"/>
          <w:i w:val="0"/>
          <w:color w:val="000000"/>
          <w:spacing w:val="0"/>
          <w:sz w:val="18"/>
          <w:szCs w:val="18"/>
          <w:shd w:val="clear" w:fill="FFFFFF"/>
          <w:lang w:val="en-US" w:eastAsia="zh-CN"/>
        </w:rPr>
        <w:t>R4-2108638</w:t>
      </w:r>
      <w:r>
        <w:rPr>
          <w:rFonts w:hint="eastAsia" w:cs="Times New Roman"/>
          <w:b w:val="0"/>
          <w:i w:val="0"/>
          <w:color w:val="000000"/>
          <w:spacing w:val="0"/>
          <w:sz w:val="18"/>
          <w:szCs w:val="18"/>
          <w:shd w:val="clear" w:fill="FFFFFF"/>
          <w:lang w:val="en-US" w:eastAsia="zh-CN"/>
        </w:rPr>
        <w:t>,</w:t>
      </w:r>
      <w:r>
        <w:rPr>
          <w:rFonts w:hint="default" w:eastAsia="宋体" w:cs="Times New Roman"/>
          <w:b w:val="0"/>
          <w:i w:val="0"/>
          <w:color w:val="000000"/>
          <w:spacing w:val="0"/>
          <w:sz w:val="18"/>
          <w:szCs w:val="18"/>
          <w:shd w:val="clear" w:fill="FFFFFF"/>
          <w:lang w:val="en-US" w:eastAsia="zh-CN"/>
        </w:rPr>
        <w:t>WF on BS TX RF requirements for 52.6 – 71 GHz, approved.</w:t>
      </w:r>
    </w:p>
    <w:p>
      <w:pPr>
        <w:pStyle w:val="51"/>
        <w:numPr>
          <w:ilvl w:val="0"/>
          <w:numId w:val="3"/>
        </w:numPr>
        <w:rPr>
          <w:rFonts w:hint="default" w:ascii="Times New Roman" w:hAnsi="Times New Roman" w:eastAsia="宋体" w:cs="Times New Roman"/>
          <w:b w:val="0"/>
          <w:i w:val="0"/>
          <w:caps w:val="0"/>
          <w:color w:val="000000"/>
          <w:spacing w:val="0"/>
          <w:sz w:val="18"/>
          <w:szCs w:val="18"/>
          <w:shd w:val="clear" w:fill="FFFFFF"/>
        </w:rPr>
      </w:pPr>
      <w:r>
        <w:rPr>
          <w:rFonts w:hint="eastAsia" w:ascii="Times New Roman" w:hAnsi="Times New Roman" w:eastAsia="宋体" w:cs="Times New Roman"/>
          <w:b w:val="0"/>
          <w:i w:val="0"/>
          <w:caps w:val="0"/>
          <w:color w:val="000000"/>
          <w:spacing w:val="0"/>
          <w:sz w:val="18"/>
          <w:szCs w:val="18"/>
          <w:shd w:val="clear" w:fill="FFFFFF"/>
          <w:lang w:val="en-US" w:eastAsia="zh-CN"/>
        </w:rPr>
        <w:t>R4- 1713558, Link Level Simulation Results for EVM FR2, Ericsson</w:t>
      </w:r>
    </w:p>
    <w:p>
      <w:pPr>
        <w:pStyle w:val="51"/>
        <w:numPr>
          <w:ilvl w:val="0"/>
          <w:numId w:val="3"/>
        </w:numPr>
        <w:rPr>
          <w:rFonts w:hint="eastAsia" w:ascii="Times New Roman" w:hAnsi="Times New Roman" w:eastAsia="宋体" w:cs="Times New Roman"/>
          <w:b w:val="0"/>
          <w:i w:val="0"/>
          <w:caps w:val="0"/>
          <w:color w:val="000000"/>
          <w:spacing w:val="0"/>
          <w:sz w:val="18"/>
          <w:szCs w:val="18"/>
          <w:shd w:val="clear" w:fill="FFFFFF"/>
          <w:lang w:val="en-US" w:eastAsia="zh-CN"/>
        </w:rPr>
      </w:pPr>
      <w:r>
        <w:rPr>
          <w:rFonts w:hint="eastAsia" w:ascii="Times New Roman" w:hAnsi="Times New Roman" w:eastAsia="宋体" w:cs="Times New Roman"/>
          <w:b w:val="0"/>
          <w:i w:val="0"/>
          <w:caps w:val="0"/>
          <w:color w:val="000000"/>
          <w:spacing w:val="0"/>
          <w:sz w:val="18"/>
          <w:szCs w:val="18"/>
          <w:shd w:val="clear" w:fill="FFFFFF"/>
          <w:lang w:val="en-US" w:eastAsia="zh-CN"/>
        </w:rPr>
        <w:t>R4-2115643,WF on BS Tx RF requirement, approved.</w:t>
      </w:r>
    </w:p>
    <w:p>
      <w:pPr>
        <w:pStyle w:val="51"/>
        <w:numPr>
          <w:ilvl w:val="0"/>
          <w:numId w:val="3"/>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R4-2115643</w:t>
      </w:r>
      <w:r>
        <w:rPr>
          <w:rFonts w:hint="eastAsia" w:ascii="Times New Roman" w:hAnsi="Times New Roman" w:eastAsia="宋体"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Tx RF requirement</w:t>
      </w:r>
      <w:r>
        <w:rPr>
          <w:rFonts w:hint="eastAsia" w:ascii="Times New Roman" w:hAnsi="Times New Roman" w:eastAsia="宋体" w:cs="Times New Roman"/>
          <w:b w:val="0"/>
          <w:i w:val="0"/>
          <w:caps w:val="0"/>
          <w:color w:val="000000"/>
          <w:spacing w:val="0"/>
          <w:sz w:val="18"/>
          <w:szCs w:val="18"/>
          <w:shd w:val="clear" w:fill="FFFFFF"/>
          <w:lang w:val="en-US" w:eastAsia="zh-CN"/>
        </w:rPr>
        <w:t>, approved.</w:t>
      </w:r>
    </w:p>
    <w:p>
      <w:pPr>
        <w:pStyle w:val="51"/>
        <w:numPr>
          <w:ilvl w:val="0"/>
          <w:numId w:val="3"/>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w:t>
      </w:r>
      <w:r>
        <w:rPr>
          <w:rFonts w:hint="eastAsia" w:cs="Times New Roman"/>
          <w:b w:val="0"/>
          <w:i w:val="0"/>
          <w:caps w:val="0"/>
          <w:color w:val="000000"/>
          <w:spacing w:val="0"/>
          <w:sz w:val="18"/>
          <w:szCs w:val="18"/>
          <w:shd w:val="clear" w:fill="FFFFFF"/>
          <w:lang w:val="en-US" w:eastAsia="zh-CN"/>
        </w:rPr>
        <w:t>2</w:t>
      </w:r>
      <w:r>
        <w:rPr>
          <w:rFonts w:hint="eastAsia" w:ascii="Times New Roman" w:hAnsi="Times New Roman" w:eastAsia="宋体" w:cs="Times New Roman"/>
          <w:b w:val="0"/>
          <w:i w:val="0"/>
          <w:caps w:val="0"/>
          <w:color w:val="000000"/>
          <w:spacing w:val="0"/>
          <w:sz w:val="18"/>
          <w:szCs w:val="18"/>
          <w:shd w:val="clear" w:fill="FFFFFF"/>
          <w:lang w:val="en-US" w:eastAsia="zh-CN"/>
        </w:rPr>
        <w:t>xxx, Coexistence simulation results for 52.6-71GHz, ZTE</w:t>
      </w:r>
    </w:p>
    <w:p>
      <w:pPr>
        <w:pStyle w:val="51"/>
        <w:numPr>
          <w:ilvl w:val="0"/>
          <w:numId w:val="3"/>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R4-2120677</w:t>
      </w:r>
      <w:r>
        <w:rPr>
          <w:rFonts w:hint="eastAsia" w:ascii="Times New Roman" w:hAnsi="Times New Roman" w:eastAsia="宋体"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RF Tx requirements</w:t>
      </w:r>
      <w:r>
        <w:rPr>
          <w:rFonts w:hint="eastAsia" w:ascii="Times New Roman" w:hAnsi="Times New Roman" w:eastAsia="宋体" w:cs="Times New Roman"/>
          <w:b w:val="0"/>
          <w:i w:val="0"/>
          <w:caps w:val="0"/>
          <w:color w:val="000000"/>
          <w:spacing w:val="0"/>
          <w:sz w:val="18"/>
          <w:szCs w:val="18"/>
          <w:shd w:val="clear" w:fill="FFFFFF"/>
          <w:lang w:val="en-US" w:eastAsia="zh-CN"/>
        </w:rPr>
        <w:t>, Nokia, approved.</w:t>
      </w:r>
    </w:p>
    <w:p>
      <w:pPr>
        <w:pStyle w:val="51"/>
        <w:numPr>
          <w:ilvl w:val="0"/>
          <w:numId w:val="3"/>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R4-2120061</w:t>
      </w:r>
      <w:r>
        <w:rPr>
          <w:rFonts w:hint="default" w:ascii="Times New Roman" w:hAnsi="Times New Roman" w:eastAsia="宋体" w:cs="Times New Roman"/>
          <w:b w:val="0"/>
          <w:i w:val="0"/>
          <w:caps w:val="0"/>
          <w:color w:val="000000"/>
          <w:spacing w:val="0"/>
          <w:sz w:val="18"/>
          <w:szCs w:val="18"/>
          <w:shd w:val="clear" w:fill="FFFFFF"/>
        </w:rPr>
        <w:tab/>
      </w:r>
      <w:r>
        <w:rPr>
          <w:rFonts w:hint="default" w:ascii="Times New Roman" w:hAnsi="Times New Roman" w:eastAsia="宋体" w:cs="Times New Roman"/>
          <w:b w:val="0"/>
          <w:i w:val="0"/>
          <w:caps w:val="0"/>
          <w:color w:val="000000"/>
          <w:spacing w:val="0"/>
          <w:sz w:val="18"/>
          <w:szCs w:val="18"/>
          <w:shd w:val="clear" w:fill="FFFFFF"/>
        </w:rPr>
        <w:t>WF on NR extension to 71 GHz (Part 1) - System Parameters</w:t>
      </w:r>
      <w:r>
        <w:rPr>
          <w:rFonts w:hint="eastAsia" w:cs="Times New Roman"/>
          <w:b w:val="0"/>
          <w:i w:val="0"/>
          <w:caps w:val="0"/>
          <w:color w:val="000000"/>
          <w:spacing w:val="0"/>
          <w:sz w:val="18"/>
          <w:szCs w:val="18"/>
          <w:shd w:val="clear" w:fill="FFFFFF"/>
          <w:lang w:val="en-US" w:eastAsia="zh-CN"/>
        </w:rPr>
        <w:t>, approved.</w:t>
      </w:r>
    </w:p>
    <w:p>
      <w:pPr>
        <w:pStyle w:val="51"/>
        <w:numPr>
          <w:ilvl w:val="0"/>
          <w:numId w:val="3"/>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R4-2120001</w:t>
      </w:r>
      <w:r>
        <w:rPr>
          <w:rFonts w:hint="default" w:ascii="Times New Roman" w:hAnsi="Times New Roman" w:eastAsia="宋体" w:cs="Times New Roman"/>
          <w:b w:val="0"/>
          <w:i w:val="0"/>
          <w:caps w:val="0"/>
          <w:color w:val="000000"/>
          <w:spacing w:val="0"/>
          <w:sz w:val="18"/>
          <w:szCs w:val="18"/>
          <w:shd w:val="clear" w:fill="FFFFFF"/>
        </w:rPr>
        <w:tab/>
      </w:r>
      <w:r>
        <w:rPr>
          <w:rFonts w:hint="default" w:ascii="Times New Roman" w:hAnsi="Times New Roman" w:eastAsia="宋体" w:cs="Times New Roman"/>
          <w:b w:val="0"/>
          <w:i w:val="0"/>
          <w:caps w:val="0"/>
          <w:color w:val="000000"/>
          <w:spacing w:val="0"/>
          <w:sz w:val="18"/>
          <w:szCs w:val="18"/>
          <w:shd w:val="clear" w:fill="FFFFFF"/>
        </w:rPr>
        <w:t>WF on DL/UL ACIR and BS/UE ACLR/ACS for FR2-2</w:t>
      </w:r>
      <w:r>
        <w:rPr>
          <w:rFonts w:hint="eastAsia" w:cs="Times New Roman"/>
          <w:b w:val="0"/>
          <w:i w:val="0"/>
          <w:caps w:val="0"/>
          <w:color w:val="000000"/>
          <w:spacing w:val="0"/>
          <w:sz w:val="18"/>
          <w:szCs w:val="18"/>
          <w:shd w:val="clear" w:fill="FFFFFF"/>
          <w:lang w:val="en-US" w:eastAsia="zh-CN"/>
        </w:rPr>
        <w:t>, approved.</w:t>
      </w:r>
    </w:p>
    <w:p>
      <w:pPr>
        <w:pStyle w:val="53"/>
        <w:tabs>
          <w:tab w:val="left" w:pos="567"/>
          <w:tab w:val="clear" w:pos="1985"/>
        </w:tabs>
        <w:adjustRightInd w:val="0"/>
        <w:ind w:left="510" w:hanging="510"/>
      </w:pPr>
      <w:r>
        <w:rPr>
          <w:rFonts w:hint="eastAsia"/>
          <w:lang w:val="en-US" w:eastAsia="zh-CN"/>
        </w:rPr>
        <w:t>Annex: simulation assumption</w:t>
      </w:r>
    </w:p>
    <w:p>
      <w:pPr>
        <w:jc w:val="center"/>
        <w:rPr>
          <w:lang w:val="en-US" w:eastAsia="zh-CN"/>
        </w:rPr>
      </w:pPr>
      <w:r>
        <w:rPr>
          <w:rFonts w:hint="eastAsia"/>
          <w:lang w:val="en-US" w:eastAsia="zh-CN"/>
        </w:rPr>
        <w:t>Table A1-1 Link level simulation assumption</w:t>
      </w:r>
    </w:p>
    <w:tbl>
      <w:tblPr>
        <w:tblStyle w:val="22"/>
        <w:tblW w:w="6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pStyle w:val="32"/>
              <w:snapToGrid w:val="0"/>
              <w:rPr>
                <w:lang w:val="en-US"/>
              </w:rPr>
            </w:pPr>
            <w:r>
              <w:rPr>
                <w:szCs w:val="22"/>
                <w:lang w:val="en-US"/>
              </w:rPr>
              <w:t>Parameters</w:t>
            </w:r>
          </w:p>
        </w:tc>
        <w:tc>
          <w:tcPr>
            <w:tcW w:w="3419" w:type="dxa"/>
          </w:tcPr>
          <w:p>
            <w:pPr>
              <w:pStyle w:val="32"/>
              <w:snapToGrid w:val="0"/>
              <w:rPr>
                <w:lang w:val="en-US" w:eastAsia="zh-CN"/>
              </w:rPr>
            </w:pPr>
            <w:r>
              <w:rPr>
                <w:rFonts w:hint="eastAsia"/>
                <w:szCs w:val="22"/>
                <w:lang w:val="en-US" w:eastAsia="zh-CN"/>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Carrier Frequency</w:t>
            </w:r>
          </w:p>
        </w:tc>
        <w:tc>
          <w:tcPr>
            <w:tcW w:w="3419" w:type="dxa"/>
          </w:tcPr>
          <w:p>
            <w:pPr>
              <w:snapToGrid w:val="0"/>
              <w:spacing w:after="0"/>
              <w:rPr>
                <w:rFonts w:eastAsia="宋体"/>
                <w:lang w:val="en-US" w:eastAsia="zh-CN"/>
              </w:rPr>
            </w:pPr>
            <w:r>
              <w:rPr>
                <w:rFonts w:hint="eastAsia" w:eastAsia="宋体"/>
                <w:lang w:val="en-US"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Waveform</w:t>
            </w:r>
          </w:p>
        </w:tc>
        <w:tc>
          <w:tcPr>
            <w:tcW w:w="3419" w:type="dxa"/>
          </w:tcPr>
          <w:p>
            <w:pPr>
              <w:snapToGrid w:val="0"/>
              <w:spacing w:after="0"/>
              <w:rPr>
                <w:rFonts w:eastAsia="宋体"/>
                <w:lang w:val="en-US" w:eastAsia="zh-CN"/>
              </w:rPr>
            </w:pPr>
            <w:r>
              <w:rPr>
                <w:rFonts w:hint="eastAsia" w:eastAsia="宋体"/>
                <w:lang w:val="en-US" w:eastAsia="zh-CN"/>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eastAsia="宋体"/>
                <w:lang w:val="en-US" w:eastAsia="zh-CN"/>
              </w:rPr>
              <w:t>System</w:t>
            </w:r>
            <w:r>
              <w:rPr>
                <w:rFonts w:hint="eastAsia" w:eastAsia="宋体"/>
                <w:lang w:val="en-US" w:eastAsia="zh-CN"/>
              </w:rPr>
              <w:t xml:space="preserve"> Bandwidth</w:t>
            </w:r>
          </w:p>
        </w:tc>
        <w:tc>
          <w:tcPr>
            <w:tcW w:w="3419" w:type="dxa"/>
          </w:tcPr>
          <w:p>
            <w:pPr>
              <w:snapToGrid w:val="0"/>
              <w:spacing w:after="0"/>
              <w:rPr>
                <w:rFonts w:eastAsia="宋体"/>
                <w:lang w:val="en-US" w:eastAsia="zh-CN"/>
              </w:rPr>
            </w:pPr>
            <w:r>
              <w:rPr>
                <w:rFonts w:hint="eastAsia" w:eastAsia="宋体"/>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Subcarrier spacing</w:t>
            </w:r>
          </w:p>
        </w:tc>
        <w:tc>
          <w:tcPr>
            <w:tcW w:w="3419" w:type="dxa"/>
          </w:tcPr>
          <w:p>
            <w:pPr>
              <w:snapToGrid w:val="0"/>
              <w:spacing w:after="0"/>
              <w:rPr>
                <w:rFonts w:eastAsia="宋体"/>
                <w:lang w:val="en-US" w:eastAsia="zh-CN"/>
              </w:rPr>
            </w:pPr>
            <w:r>
              <w:rPr>
                <w:rFonts w:hint="eastAsia" w:eastAsia="宋体"/>
                <w:lang w:val="en-US" w:eastAsia="zh-CN"/>
              </w:rPr>
              <w:t>480kHz/960kHz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CP type</w:t>
            </w:r>
          </w:p>
        </w:tc>
        <w:tc>
          <w:tcPr>
            <w:tcW w:w="3419" w:type="dxa"/>
          </w:tcPr>
          <w:p>
            <w:pPr>
              <w:snapToGrid w:val="0"/>
              <w:spacing w:after="0"/>
              <w:rPr>
                <w:rFonts w:eastAsia="宋体"/>
                <w:lang w:val="en-US" w:eastAsia="zh-CN"/>
              </w:rPr>
            </w:pPr>
            <w:r>
              <w:rPr>
                <w:rFonts w:hint="eastAsia" w:eastAsia="宋体"/>
                <w:lang w:val="en-US" w:eastAsia="zh-CN"/>
              </w:rPr>
              <w:t>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Model</w:t>
            </w:r>
          </w:p>
        </w:tc>
        <w:tc>
          <w:tcPr>
            <w:tcW w:w="3419" w:type="dxa"/>
          </w:tcPr>
          <w:p>
            <w:pPr>
              <w:snapToGrid w:val="0"/>
              <w:spacing w:after="0"/>
              <w:rPr>
                <w:rFonts w:eastAsia="宋体"/>
                <w:lang w:val="en-US" w:eastAsia="zh-CN"/>
              </w:rPr>
            </w:pPr>
            <w:r>
              <w:rPr>
                <w:rFonts w:hint="eastAsia" w:eastAsia="宋体"/>
                <w:lang w:val="en-US" w:eastAsia="zh-CN"/>
              </w:rPr>
              <w:t>TDL-A 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model</w:t>
            </w:r>
          </w:p>
        </w:tc>
        <w:tc>
          <w:tcPr>
            <w:tcW w:w="3419" w:type="dxa"/>
          </w:tcPr>
          <w:p>
            <w:pPr>
              <w:snapToGrid w:val="0"/>
              <w:spacing w:after="0"/>
              <w:rPr>
                <w:rFonts w:eastAsia="宋体"/>
                <w:lang w:val="en-US" w:eastAsia="zh-CN"/>
              </w:rPr>
            </w:pPr>
            <w:r>
              <w:rPr>
                <w:rFonts w:eastAsia="宋体"/>
                <w:lang w:val="en-US" w:eastAsia="zh-CN"/>
              </w:rPr>
              <w:t>3GPP TR38.803 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DMRS</w:t>
            </w:r>
            <w:r>
              <w:rPr>
                <w:lang w:val="en-US"/>
              </w:rPr>
              <w:t xml:space="preserve"> Configuration</w:t>
            </w:r>
          </w:p>
        </w:tc>
        <w:tc>
          <w:tcPr>
            <w:tcW w:w="3419" w:type="dxa"/>
          </w:tcPr>
          <w:p>
            <w:pPr>
              <w:snapToGrid w:val="0"/>
              <w:spacing w:after="0"/>
              <w:rPr>
                <w:lang w:val="en-US"/>
              </w:rPr>
            </w:pPr>
            <w:r>
              <w:rPr>
                <w:lang w:val="en-US" w:eastAsia="zh-CN"/>
              </w:rPr>
              <w:t>2 DMRS symbols per slot at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PTRS Configuration</w:t>
            </w:r>
          </w:p>
        </w:tc>
        <w:tc>
          <w:tcPr>
            <w:tcW w:w="3419" w:type="dxa"/>
          </w:tcPr>
          <w:p>
            <w:pPr>
              <w:snapToGrid w:val="0"/>
              <w:spacing w:after="0"/>
              <w:rPr>
                <w:rFonts w:eastAsia="宋体"/>
                <w:lang w:val="en-US" w:eastAsia="zh-CN"/>
              </w:rPr>
            </w:pPr>
            <w:r>
              <w:rPr>
                <w:rFonts w:eastAsia="宋体"/>
                <w:lang w:val="en-US" w:eastAsia="zh-CN"/>
              </w:rPr>
              <w:t>(K = 2, L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SLIV</w:t>
            </w:r>
          </w:p>
        </w:tc>
        <w:tc>
          <w:tcPr>
            <w:tcW w:w="3419" w:type="dxa"/>
          </w:tcPr>
          <w:p>
            <w:pPr>
              <w:snapToGrid w:val="0"/>
              <w:spacing w:after="0"/>
              <w:rPr>
                <w:rFonts w:eastAsia="宋体"/>
                <w:lang w:val="en-US" w:eastAsia="zh-CN"/>
              </w:rPr>
            </w:pPr>
            <w:r>
              <w:rPr>
                <w:rFonts w:eastAsia="宋体"/>
                <w:lang w:val="en-US" w:eastAsia="zh-CN"/>
              </w:rPr>
              <w:t>(S=0,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PN</w:t>
            </w:r>
            <w:r>
              <w:rPr>
                <w:lang w:val="en-US"/>
              </w:rPr>
              <w:t xml:space="preserve">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compensation</w:t>
            </w:r>
          </w:p>
        </w:tc>
        <w:tc>
          <w:tcPr>
            <w:tcW w:w="3419" w:type="dxa"/>
          </w:tcPr>
          <w:p>
            <w:pPr>
              <w:snapToGrid w:val="0"/>
              <w:spacing w:after="0"/>
              <w:rPr>
                <w:rFonts w:eastAsia="宋体"/>
                <w:lang w:val="en-US" w:eastAsia="zh-CN"/>
              </w:rPr>
            </w:pPr>
            <w:r>
              <w:rPr>
                <w:rFonts w:hint="eastAsia" w:eastAsia="宋体"/>
                <w:lang w:val="en-US" w:eastAsia="zh-CN"/>
              </w:rPr>
              <w:t>CPE &amp; ICI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receiver</w:t>
            </w:r>
          </w:p>
        </w:tc>
        <w:tc>
          <w:tcPr>
            <w:tcW w:w="3419" w:type="dxa"/>
          </w:tcPr>
          <w:p>
            <w:pPr>
              <w:snapToGrid w:val="0"/>
              <w:spacing w:after="0"/>
              <w:rPr>
                <w:lang w:val="en-US"/>
              </w:rPr>
            </w:pPr>
            <w: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BS antenna Array configuration</w:t>
            </w:r>
          </w:p>
        </w:tc>
        <w:tc>
          <w:tcPr>
            <w:tcW w:w="3419" w:type="dxa"/>
          </w:tcPr>
          <w:p>
            <w:pPr>
              <w:snapToGrid w:val="0"/>
              <w:spacing w:after="0"/>
              <w:rPr>
                <w:lang w:val="en-US"/>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antenna Array configuration</w:t>
            </w:r>
          </w:p>
        </w:tc>
        <w:tc>
          <w:tcPr>
            <w:tcW w:w="3419" w:type="dxa"/>
          </w:tcPr>
          <w:p>
            <w:pPr>
              <w:snapToGrid w:val="0"/>
              <w:spacing w:after="0"/>
              <w:rPr>
                <w:lang w:val="en-US"/>
              </w:rPr>
            </w:pPr>
            <w:r>
              <w:rPr>
                <w:rFonts w:hint="eastAsia" w:eastAsia="宋体"/>
                <w:lang w:val="en-US" w:eastAsia="zh-CN"/>
              </w:rPr>
              <w:t>2</w:t>
            </w:r>
          </w:p>
        </w:tc>
      </w:tr>
    </w:tbl>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C4066D5"/>
    <w:multiLevelType w:val="multilevel"/>
    <w:tmpl w:val="1C4066D5"/>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Wingdings" w:hAnsi="Wingdings"/>
        <w:color w:val="000000" w:themeColor="text1"/>
        <w14:textFill>
          <w14:solidFill>
            <w14:schemeClr w14:val="tx1"/>
          </w14:solidFill>
        </w14:textFil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51"/>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418"/>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3EB"/>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744265"/>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B69FD"/>
    <w:rsid w:val="03A32E58"/>
    <w:rsid w:val="03C0647A"/>
    <w:rsid w:val="03D4427A"/>
    <w:rsid w:val="03E76518"/>
    <w:rsid w:val="03F54B29"/>
    <w:rsid w:val="03FF3D36"/>
    <w:rsid w:val="041875C1"/>
    <w:rsid w:val="04252816"/>
    <w:rsid w:val="04376B0F"/>
    <w:rsid w:val="0444783F"/>
    <w:rsid w:val="044753DC"/>
    <w:rsid w:val="045E1DEE"/>
    <w:rsid w:val="04786ED3"/>
    <w:rsid w:val="048829D4"/>
    <w:rsid w:val="04F14C06"/>
    <w:rsid w:val="051034CD"/>
    <w:rsid w:val="051F43BC"/>
    <w:rsid w:val="053E1AC2"/>
    <w:rsid w:val="05583DC1"/>
    <w:rsid w:val="05816D10"/>
    <w:rsid w:val="05930F73"/>
    <w:rsid w:val="05940F3F"/>
    <w:rsid w:val="05B173DC"/>
    <w:rsid w:val="05B27D07"/>
    <w:rsid w:val="05B60E23"/>
    <w:rsid w:val="05B658ED"/>
    <w:rsid w:val="05BE42A5"/>
    <w:rsid w:val="05D16BC6"/>
    <w:rsid w:val="05DF678C"/>
    <w:rsid w:val="05EE3B4E"/>
    <w:rsid w:val="05F007AC"/>
    <w:rsid w:val="060D249E"/>
    <w:rsid w:val="06111076"/>
    <w:rsid w:val="062D742E"/>
    <w:rsid w:val="062F53D1"/>
    <w:rsid w:val="06474EFD"/>
    <w:rsid w:val="06493A8C"/>
    <w:rsid w:val="064A35EA"/>
    <w:rsid w:val="064B521E"/>
    <w:rsid w:val="064C2727"/>
    <w:rsid w:val="065740AF"/>
    <w:rsid w:val="067570AB"/>
    <w:rsid w:val="067D28AB"/>
    <w:rsid w:val="06836FEC"/>
    <w:rsid w:val="068523FB"/>
    <w:rsid w:val="068C6317"/>
    <w:rsid w:val="06A32A23"/>
    <w:rsid w:val="06A55EB9"/>
    <w:rsid w:val="06A767E8"/>
    <w:rsid w:val="06AE0568"/>
    <w:rsid w:val="06B548E2"/>
    <w:rsid w:val="06B74119"/>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C752E9"/>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CB789F"/>
    <w:rsid w:val="08F3057E"/>
    <w:rsid w:val="09016732"/>
    <w:rsid w:val="09124107"/>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A5797"/>
    <w:rsid w:val="099D22A1"/>
    <w:rsid w:val="09A64698"/>
    <w:rsid w:val="09AC5074"/>
    <w:rsid w:val="09AD07F3"/>
    <w:rsid w:val="09B14A34"/>
    <w:rsid w:val="09E14486"/>
    <w:rsid w:val="09E26945"/>
    <w:rsid w:val="09F3690C"/>
    <w:rsid w:val="0A093274"/>
    <w:rsid w:val="0A145E2C"/>
    <w:rsid w:val="0A223227"/>
    <w:rsid w:val="0A22459E"/>
    <w:rsid w:val="0A2705E1"/>
    <w:rsid w:val="0A2A6A0B"/>
    <w:rsid w:val="0A312533"/>
    <w:rsid w:val="0A387E94"/>
    <w:rsid w:val="0A3A0D5D"/>
    <w:rsid w:val="0A5056C6"/>
    <w:rsid w:val="0A5060D6"/>
    <w:rsid w:val="0A5F4C2E"/>
    <w:rsid w:val="0A7200B0"/>
    <w:rsid w:val="0A771CA5"/>
    <w:rsid w:val="0A792AB1"/>
    <w:rsid w:val="0A8046F0"/>
    <w:rsid w:val="0A843B9D"/>
    <w:rsid w:val="0A8621F2"/>
    <w:rsid w:val="0A8C711B"/>
    <w:rsid w:val="0A8F1F9F"/>
    <w:rsid w:val="0A9B6BF5"/>
    <w:rsid w:val="0AB329A9"/>
    <w:rsid w:val="0ABA55D8"/>
    <w:rsid w:val="0ACD4245"/>
    <w:rsid w:val="0AD226BA"/>
    <w:rsid w:val="0AD57FD6"/>
    <w:rsid w:val="0ADD7B55"/>
    <w:rsid w:val="0B110AC0"/>
    <w:rsid w:val="0B1157EF"/>
    <w:rsid w:val="0B1765E0"/>
    <w:rsid w:val="0B1C0720"/>
    <w:rsid w:val="0B1C1D7C"/>
    <w:rsid w:val="0B22066E"/>
    <w:rsid w:val="0B2643BE"/>
    <w:rsid w:val="0B3F2432"/>
    <w:rsid w:val="0B4A1037"/>
    <w:rsid w:val="0B4D5218"/>
    <w:rsid w:val="0B5461B0"/>
    <w:rsid w:val="0B622E13"/>
    <w:rsid w:val="0B717521"/>
    <w:rsid w:val="0B725D3E"/>
    <w:rsid w:val="0B7E0C53"/>
    <w:rsid w:val="0B884E90"/>
    <w:rsid w:val="0B892782"/>
    <w:rsid w:val="0BB06F21"/>
    <w:rsid w:val="0BB2460A"/>
    <w:rsid w:val="0BB30DE5"/>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572D7"/>
    <w:rsid w:val="0CB90F2E"/>
    <w:rsid w:val="0CC841F0"/>
    <w:rsid w:val="0CE75BD1"/>
    <w:rsid w:val="0D0213CD"/>
    <w:rsid w:val="0D04575D"/>
    <w:rsid w:val="0D0612B8"/>
    <w:rsid w:val="0D066A9C"/>
    <w:rsid w:val="0D0714BC"/>
    <w:rsid w:val="0D1A52C8"/>
    <w:rsid w:val="0D2767B5"/>
    <w:rsid w:val="0D346E85"/>
    <w:rsid w:val="0D3E327E"/>
    <w:rsid w:val="0D5800C7"/>
    <w:rsid w:val="0D6A353C"/>
    <w:rsid w:val="0D904522"/>
    <w:rsid w:val="0D976014"/>
    <w:rsid w:val="0DA060E8"/>
    <w:rsid w:val="0DCE36F3"/>
    <w:rsid w:val="0DD621E4"/>
    <w:rsid w:val="0DDE1317"/>
    <w:rsid w:val="0DFF0C8E"/>
    <w:rsid w:val="0E0313B1"/>
    <w:rsid w:val="0E0D1A47"/>
    <w:rsid w:val="0E1D14EE"/>
    <w:rsid w:val="0E2B6C7E"/>
    <w:rsid w:val="0E3217E8"/>
    <w:rsid w:val="0E3362F6"/>
    <w:rsid w:val="0E387AA5"/>
    <w:rsid w:val="0E400D03"/>
    <w:rsid w:val="0E5E2B07"/>
    <w:rsid w:val="0E76455D"/>
    <w:rsid w:val="0E771E51"/>
    <w:rsid w:val="0E7A2A61"/>
    <w:rsid w:val="0E8118C0"/>
    <w:rsid w:val="0E9A17E3"/>
    <w:rsid w:val="0EA11114"/>
    <w:rsid w:val="0EA35AC0"/>
    <w:rsid w:val="0EB34961"/>
    <w:rsid w:val="0EB9447E"/>
    <w:rsid w:val="0EC468A2"/>
    <w:rsid w:val="0ECC4066"/>
    <w:rsid w:val="0ECE7C5F"/>
    <w:rsid w:val="0EEE5704"/>
    <w:rsid w:val="0EF75D05"/>
    <w:rsid w:val="0EFE2ACB"/>
    <w:rsid w:val="0F0D240A"/>
    <w:rsid w:val="0F12247A"/>
    <w:rsid w:val="0F180ED7"/>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240B8"/>
    <w:rsid w:val="0FEC6EF6"/>
    <w:rsid w:val="0FEE1285"/>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AE8"/>
    <w:rsid w:val="114B6C92"/>
    <w:rsid w:val="114C09AA"/>
    <w:rsid w:val="114C3CA8"/>
    <w:rsid w:val="114D3A1D"/>
    <w:rsid w:val="11576536"/>
    <w:rsid w:val="11607F73"/>
    <w:rsid w:val="117561EB"/>
    <w:rsid w:val="117824F0"/>
    <w:rsid w:val="117E2370"/>
    <w:rsid w:val="11847341"/>
    <w:rsid w:val="11A91074"/>
    <w:rsid w:val="11AC7561"/>
    <w:rsid w:val="11AF439E"/>
    <w:rsid w:val="11B66269"/>
    <w:rsid w:val="11BA0839"/>
    <w:rsid w:val="11BD64CA"/>
    <w:rsid w:val="11DD0E0D"/>
    <w:rsid w:val="11E84619"/>
    <w:rsid w:val="11F267E8"/>
    <w:rsid w:val="11F427FC"/>
    <w:rsid w:val="1210456D"/>
    <w:rsid w:val="12134828"/>
    <w:rsid w:val="12143598"/>
    <w:rsid w:val="121729B6"/>
    <w:rsid w:val="12266BC0"/>
    <w:rsid w:val="122C6138"/>
    <w:rsid w:val="12396B0A"/>
    <w:rsid w:val="123A52C3"/>
    <w:rsid w:val="123B062B"/>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2FA54C0"/>
    <w:rsid w:val="131046DE"/>
    <w:rsid w:val="131B2229"/>
    <w:rsid w:val="131B463A"/>
    <w:rsid w:val="131D12BF"/>
    <w:rsid w:val="132625C2"/>
    <w:rsid w:val="132A7435"/>
    <w:rsid w:val="133B5756"/>
    <w:rsid w:val="135F5E4E"/>
    <w:rsid w:val="137F1B10"/>
    <w:rsid w:val="1382164E"/>
    <w:rsid w:val="13AB3B97"/>
    <w:rsid w:val="13B35E26"/>
    <w:rsid w:val="13B66BD2"/>
    <w:rsid w:val="13BA2920"/>
    <w:rsid w:val="13BF66BA"/>
    <w:rsid w:val="13CA31CB"/>
    <w:rsid w:val="13CD1105"/>
    <w:rsid w:val="13CF2E2F"/>
    <w:rsid w:val="13DC36E2"/>
    <w:rsid w:val="13FE285E"/>
    <w:rsid w:val="14220CA7"/>
    <w:rsid w:val="144442DA"/>
    <w:rsid w:val="144C6544"/>
    <w:rsid w:val="14693B4C"/>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9F74C6"/>
    <w:rsid w:val="15AA7A19"/>
    <w:rsid w:val="15AC5259"/>
    <w:rsid w:val="15B06B12"/>
    <w:rsid w:val="15B91C2A"/>
    <w:rsid w:val="15BE3D9D"/>
    <w:rsid w:val="15D4474D"/>
    <w:rsid w:val="15D7597F"/>
    <w:rsid w:val="160A09CB"/>
    <w:rsid w:val="160C437B"/>
    <w:rsid w:val="16160429"/>
    <w:rsid w:val="161C3234"/>
    <w:rsid w:val="162E199C"/>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C4F9F"/>
    <w:rsid w:val="16FD7F89"/>
    <w:rsid w:val="170133DA"/>
    <w:rsid w:val="170259E1"/>
    <w:rsid w:val="17026088"/>
    <w:rsid w:val="170353FD"/>
    <w:rsid w:val="171053FC"/>
    <w:rsid w:val="17165436"/>
    <w:rsid w:val="17343071"/>
    <w:rsid w:val="17382580"/>
    <w:rsid w:val="17405D13"/>
    <w:rsid w:val="175E4288"/>
    <w:rsid w:val="176C704A"/>
    <w:rsid w:val="17844C56"/>
    <w:rsid w:val="17881894"/>
    <w:rsid w:val="17A30F12"/>
    <w:rsid w:val="17BA48D6"/>
    <w:rsid w:val="17C535A1"/>
    <w:rsid w:val="17CD5EE0"/>
    <w:rsid w:val="17D77CA7"/>
    <w:rsid w:val="17DD34AB"/>
    <w:rsid w:val="17FC272C"/>
    <w:rsid w:val="17FE0B0A"/>
    <w:rsid w:val="17FE0C9F"/>
    <w:rsid w:val="17FF3C9D"/>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9FE37C1"/>
    <w:rsid w:val="1A045B87"/>
    <w:rsid w:val="1A15033C"/>
    <w:rsid w:val="1A5F7253"/>
    <w:rsid w:val="1A725418"/>
    <w:rsid w:val="1A7A2EF9"/>
    <w:rsid w:val="1A7F4EDC"/>
    <w:rsid w:val="1A8F2FDB"/>
    <w:rsid w:val="1A960E81"/>
    <w:rsid w:val="1A9A0C93"/>
    <w:rsid w:val="1AB02AE4"/>
    <w:rsid w:val="1AB359A1"/>
    <w:rsid w:val="1ABD31B9"/>
    <w:rsid w:val="1ABF3A95"/>
    <w:rsid w:val="1AC918CC"/>
    <w:rsid w:val="1AC91D4C"/>
    <w:rsid w:val="1ACE2A77"/>
    <w:rsid w:val="1AD431E8"/>
    <w:rsid w:val="1AD55B02"/>
    <w:rsid w:val="1ADA6731"/>
    <w:rsid w:val="1ADC2627"/>
    <w:rsid w:val="1AF06C95"/>
    <w:rsid w:val="1AF13F6B"/>
    <w:rsid w:val="1AF34AE5"/>
    <w:rsid w:val="1AF3712C"/>
    <w:rsid w:val="1AF84C8C"/>
    <w:rsid w:val="1AFE2079"/>
    <w:rsid w:val="1B00502A"/>
    <w:rsid w:val="1B0B3B20"/>
    <w:rsid w:val="1B1613A0"/>
    <w:rsid w:val="1B2A7E36"/>
    <w:rsid w:val="1B324397"/>
    <w:rsid w:val="1B344B51"/>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E468DD"/>
    <w:rsid w:val="1BF768CD"/>
    <w:rsid w:val="1C07248F"/>
    <w:rsid w:val="1C0D0258"/>
    <w:rsid w:val="1C0D60C9"/>
    <w:rsid w:val="1C121314"/>
    <w:rsid w:val="1C1C404C"/>
    <w:rsid w:val="1C206F70"/>
    <w:rsid w:val="1C33796F"/>
    <w:rsid w:val="1C341EE3"/>
    <w:rsid w:val="1C441419"/>
    <w:rsid w:val="1C561E66"/>
    <w:rsid w:val="1C6D4144"/>
    <w:rsid w:val="1C726EC3"/>
    <w:rsid w:val="1C793EB9"/>
    <w:rsid w:val="1C7F3D5F"/>
    <w:rsid w:val="1C807142"/>
    <w:rsid w:val="1C824DF7"/>
    <w:rsid w:val="1C826DAE"/>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0C0224"/>
    <w:rsid w:val="1E1D7E95"/>
    <w:rsid w:val="1E224747"/>
    <w:rsid w:val="1E304B88"/>
    <w:rsid w:val="1E3E02E7"/>
    <w:rsid w:val="1E3F3EAB"/>
    <w:rsid w:val="1E574243"/>
    <w:rsid w:val="1E6703B7"/>
    <w:rsid w:val="1E680B85"/>
    <w:rsid w:val="1E9D4737"/>
    <w:rsid w:val="1E9D55A8"/>
    <w:rsid w:val="1EA13E87"/>
    <w:rsid w:val="1EC11B39"/>
    <w:rsid w:val="1ED23028"/>
    <w:rsid w:val="1ED94E25"/>
    <w:rsid w:val="1EDB6C5F"/>
    <w:rsid w:val="1EDF5AD9"/>
    <w:rsid w:val="1EE6740D"/>
    <w:rsid w:val="1F020B3E"/>
    <w:rsid w:val="1F0E4BC0"/>
    <w:rsid w:val="1F141EF2"/>
    <w:rsid w:val="1F1D5512"/>
    <w:rsid w:val="1F303EA7"/>
    <w:rsid w:val="1F3906C1"/>
    <w:rsid w:val="1F3C6AF7"/>
    <w:rsid w:val="1F405E44"/>
    <w:rsid w:val="1F4E681F"/>
    <w:rsid w:val="1F5324C1"/>
    <w:rsid w:val="1F6833F6"/>
    <w:rsid w:val="1F7216B7"/>
    <w:rsid w:val="1F7959F4"/>
    <w:rsid w:val="1F7C006C"/>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128B6"/>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7294E"/>
    <w:rsid w:val="20DA5281"/>
    <w:rsid w:val="20E35BDE"/>
    <w:rsid w:val="20E9348D"/>
    <w:rsid w:val="20EB3474"/>
    <w:rsid w:val="20F32934"/>
    <w:rsid w:val="20F667B9"/>
    <w:rsid w:val="20F90A4D"/>
    <w:rsid w:val="20FB7568"/>
    <w:rsid w:val="21030340"/>
    <w:rsid w:val="21094038"/>
    <w:rsid w:val="210D2CDA"/>
    <w:rsid w:val="211779F9"/>
    <w:rsid w:val="212F6A59"/>
    <w:rsid w:val="21306305"/>
    <w:rsid w:val="213D54AD"/>
    <w:rsid w:val="214169BB"/>
    <w:rsid w:val="21447E3B"/>
    <w:rsid w:val="215D0D89"/>
    <w:rsid w:val="215F7E39"/>
    <w:rsid w:val="21746E77"/>
    <w:rsid w:val="217C7971"/>
    <w:rsid w:val="217D44BC"/>
    <w:rsid w:val="21986210"/>
    <w:rsid w:val="21997056"/>
    <w:rsid w:val="219B2AEE"/>
    <w:rsid w:val="219D3F2A"/>
    <w:rsid w:val="21A01ED2"/>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CA110E"/>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6B77A5"/>
    <w:rsid w:val="24731A96"/>
    <w:rsid w:val="247A5C3A"/>
    <w:rsid w:val="248654B3"/>
    <w:rsid w:val="248907B2"/>
    <w:rsid w:val="249A5E20"/>
    <w:rsid w:val="249C2676"/>
    <w:rsid w:val="249C6208"/>
    <w:rsid w:val="24A20ED0"/>
    <w:rsid w:val="24B0489D"/>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AF34EC"/>
    <w:rsid w:val="25BB6C64"/>
    <w:rsid w:val="25C97301"/>
    <w:rsid w:val="25CD7961"/>
    <w:rsid w:val="25D248A9"/>
    <w:rsid w:val="25D64403"/>
    <w:rsid w:val="260B255C"/>
    <w:rsid w:val="26217848"/>
    <w:rsid w:val="262E20E8"/>
    <w:rsid w:val="262E34C1"/>
    <w:rsid w:val="2640682F"/>
    <w:rsid w:val="26510DB8"/>
    <w:rsid w:val="26535F46"/>
    <w:rsid w:val="26581B54"/>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4E7F35"/>
    <w:rsid w:val="275439E1"/>
    <w:rsid w:val="276320D7"/>
    <w:rsid w:val="27935D1D"/>
    <w:rsid w:val="279408D2"/>
    <w:rsid w:val="2797120A"/>
    <w:rsid w:val="279A2ED3"/>
    <w:rsid w:val="27A558F9"/>
    <w:rsid w:val="27AE45AD"/>
    <w:rsid w:val="27B02558"/>
    <w:rsid w:val="27B76B79"/>
    <w:rsid w:val="27B91021"/>
    <w:rsid w:val="27C06D17"/>
    <w:rsid w:val="27FE20BF"/>
    <w:rsid w:val="27FE4240"/>
    <w:rsid w:val="280008FF"/>
    <w:rsid w:val="28050D91"/>
    <w:rsid w:val="281035C6"/>
    <w:rsid w:val="28255041"/>
    <w:rsid w:val="2832636A"/>
    <w:rsid w:val="283A1E3E"/>
    <w:rsid w:val="284543A1"/>
    <w:rsid w:val="284D7A82"/>
    <w:rsid w:val="28553E1D"/>
    <w:rsid w:val="285C1E48"/>
    <w:rsid w:val="287B60A8"/>
    <w:rsid w:val="28821314"/>
    <w:rsid w:val="28AD2029"/>
    <w:rsid w:val="28AD4319"/>
    <w:rsid w:val="28B220F4"/>
    <w:rsid w:val="28B35B12"/>
    <w:rsid w:val="28C075A4"/>
    <w:rsid w:val="28C33C7D"/>
    <w:rsid w:val="28DA6C60"/>
    <w:rsid w:val="28DB0A30"/>
    <w:rsid w:val="28EA35D3"/>
    <w:rsid w:val="28F33F0D"/>
    <w:rsid w:val="28F95F71"/>
    <w:rsid w:val="28FF4C6A"/>
    <w:rsid w:val="29061D2F"/>
    <w:rsid w:val="290753B9"/>
    <w:rsid w:val="291712DF"/>
    <w:rsid w:val="29192BE8"/>
    <w:rsid w:val="291C432F"/>
    <w:rsid w:val="292A375F"/>
    <w:rsid w:val="293067E3"/>
    <w:rsid w:val="29316984"/>
    <w:rsid w:val="293310A0"/>
    <w:rsid w:val="2938092A"/>
    <w:rsid w:val="293966D9"/>
    <w:rsid w:val="2946144E"/>
    <w:rsid w:val="294A5BC8"/>
    <w:rsid w:val="29504176"/>
    <w:rsid w:val="295725C3"/>
    <w:rsid w:val="29614C64"/>
    <w:rsid w:val="29657C4F"/>
    <w:rsid w:val="296B20A7"/>
    <w:rsid w:val="297D1A8B"/>
    <w:rsid w:val="2991185F"/>
    <w:rsid w:val="29981CF5"/>
    <w:rsid w:val="29A4634A"/>
    <w:rsid w:val="29A62EDD"/>
    <w:rsid w:val="29A84DD1"/>
    <w:rsid w:val="29AA2390"/>
    <w:rsid w:val="29B85AFC"/>
    <w:rsid w:val="29BB74AF"/>
    <w:rsid w:val="29CD2270"/>
    <w:rsid w:val="29D22D87"/>
    <w:rsid w:val="29EB2636"/>
    <w:rsid w:val="29F26903"/>
    <w:rsid w:val="2A0B66F6"/>
    <w:rsid w:val="2A0F7591"/>
    <w:rsid w:val="2A2545D8"/>
    <w:rsid w:val="2A2C011C"/>
    <w:rsid w:val="2A3B063B"/>
    <w:rsid w:val="2A442EDC"/>
    <w:rsid w:val="2A477F01"/>
    <w:rsid w:val="2A49761F"/>
    <w:rsid w:val="2A4C74B8"/>
    <w:rsid w:val="2A500712"/>
    <w:rsid w:val="2A627A42"/>
    <w:rsid w:val="2A630308"/>
    <w:rsid w:val="2A676AD0"/>
    <w:rsid w:val="2A687AA6"/>
    <w:rsid w:val="2A770CC7"/>
    <w:rsid w:val="2A7D16AE"/>
    <w:rsid w:val="2A9A66D4"/>
    <w:rsid w:val="2A9E6576"/>
    <w:rsid w:val="2AAC36BD"/>
    <w:rsid w:val="2AB04937"/>
    <w:rsid w:val="2ACA2140"/>
    <w:rsid w:val="2ACF5AEC"/>
    <w:rsid w:val="2AD62AB0"/>
    <w:rsid w:val="2ADE1583"/>
    <w:rsid w:val="2AE70523"/>
    <w:rsid w:val="2AF12CDF"/>
    <w:rsid w:val="2B0726A6"/>
    <w:rsid w:val="2B1D232F"/>
    <w:rsid w:val="2B1D6F4B"/>
    <w:rsid w:val="2B2D1363"/>
    <w:rsid w:val="2B335E16"/>
    <w:rsid w:val="2B42025A"/>
    <w:rsid w:val="2B450516"/>
    <w:rsid w:val="2B4526E2"/>
    <w:rsid w:val="2B5039D8"/>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84DEA"/>
    <w:rsid w:val="2C11705A"/>
    <w:rsid w:val="2C1216FD"/>
    <w:rsid w:val="2C1A3F2E"/>
    <w:rsid w:val="2C1F2023"/>
    <w:rsid w:val="2C1F2C4F"/>
    <w:rsid w:val="2C290671"/>
    <w:rsid w:val="2C416890"/>
    <w:rsid w:val="2C4D767D"/>
    <w:rsid w:val="2C5514C6"/>
    <w:rsid w:val="2C5C2032"/>
    <w:rsid w:val="2C5F0C97"/>
    <w:rsid w:val="2C6826E3"/>
    <w:rsid w:val="2C72088D"/>
    <w:rsid w:val="2C7A3BB0"/>
    <w:rsid w:val="2C7D6665"/>
    <w:rsid w:val="2C865A05"/>
    <w:rsid w:val="2C8B0557"/>
    <w:rsid w:val="2C9A28D3"/>
    <w:rsid w:val="2CBC4209"/>
    <w:rsid w:val="2CC67DC9"/>
    <w:rsid w:val="2CDA4FDA"/>
    <w:rsid w:val="2CDC7091"/>
    <w:rsid w:val="2CE34FAF"/>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EA307E"/>
    <w:rsid w:val="2EF53C20"/>
    <w:rsid w:val="2EFC5DDD"/>
    <w:rsid w:val="2F002CCF"/>
    <w:rsid w:val="2F0160A3"/>
    <w:rsid w:val="2F040464"/>
    <w:rsid w:val="2F18561C"/>
    <w:rsid w:val="2F1A491A"/>
    <w:rsid w:val="2F2960CC"/>
    <w:rsid w:val="2F2F3D52"/>
    <w:rsid w:val="2F3B7B8B"/>
    <w:rsid w:val="2F4530B9"/>
    <w:rsid w:val="2F4B7821"/>
    <w:rsid w:val="2F526911"/>
    <w:rsid w:val="2F612D64"/>
    <w:rsid w:val="2F691233"/>
    <w:rsid w:val="2F712CF7"/>
    <w:rsid w:val="2F7645B8"/>
    <w:rsid w:val="2F805714"/>
    <w:rsid w:val="2F8E5F5C"/>
    <w:rsid w:val="2FA21231"/>
    <w:rsid w:val="2FAD4759"/>
    <w:rsid w:val="2FCA0967"/>
    <w:rsid w:val="2FF117AD"/>
    <w:rsid w:val="2FF95633"/>
    <w:rsid w:val="30010F70"/>
    <w:rsid w:val="300F7F13"/>
    <w:rsid w:val="301E3C00"/>
    <w:rsid w:val="3045713F"/>
    <w:rsid w:val="30500A5C"/>
    <w:rsid w:val="30577DEE"/>
    <w:rsid w:val="30752E77"/>
    <w:rsid w:val="308018A6"/>
    <w:rsid w:val="30804E19"/>
    <w:rsid w:val="3090288F"/>
    <w:rsid w:val="309B0CFB"/>
    <w:rsid w:val="309E4272"/>
    <w:rsid w:val="30B7307E"/>
    <w:rsid w:val="30DC45E8"/>
    <w:rsid w:val="30DD6027"/>
    <w:rsid w:val="30DE16AB"/>
    <w:rsid w:val="30F44A95"/>
    <w:rsid w:val="30F77A98"/>
    <w:rsid w:val="30FA21D8"/>
    <w:rsid w:val="31057139"/>
    <w:rsid w:val="311D5B14"/>
    <w:rsid w:val="312D1F98"/>
    <w:rsid w:val="313A7B85"/>
    <w:rsid w:val="31454E97"/>
    <w:rsid w:val="31497C50"/>
    <w:rsid w:val="314A019C"/>
    <w:rsid w:val="31647576"/>
    <w:rsid w:val="31665E5D"/>
    <w:rsid w:val="316B0F75"/>
    <w:rsid w:val="316D6950"/>
    <w:rsid w:val="3171328C"/>
    <w:rsid w:val="317260A3"/>
    <w:rsid w:val="317B798E"/>
    <w:rsid w:val="31822EAF"/>
    <w:rsid w:val="31840D12"/>
    <w:rsid w:val="31846FF6"/>
    <w:rsid w:val="318614C0"/>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2663D3"/>
    <w:rsid w:val="33610DDA"/>
    <w:rsid w:val="33767D1F"/>
    <w:rsid w:val="337B22A9"/>
    <w:rsid w:val="337F446B"/>
    <w:rsid w:val="33854201"/>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46"/>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62F9E"/>
    <w:rsid w:val="355D687A"/>
    <w:rsid w:val="356579E8"/>
    <w:rsid w:val="356721FE"/>
    <w:rsid w:val="35691707"/>
    <w:rsid w:val="35744059"/>
    <w:rsid w:val="35771AC2"/>
    <w:rsid w:val="357960B4"/>
    <w:rsid w:val="359C1F6C"/>
    <w:rsid w:val="35A0338E"/>
    <w:rsid w:val="35A16611"/>
    <w:rsid w:val="35A31A0A"/>
    <w:rsid w:val="35AB5D7D"/>
    <w:rsid w:val="35B31B82"/>
    <w:rsid w:val="35C154C0"/>
    <w:rsid w:val="35C7584B"/>
    <w:rsid w:val="35CE6165"/>
    <w:rsid w:val="35D31DE1"/>
    <w:rsid w:val="35DD2AEE"/>
    <w:rsid w:val="35EA6509"/>
    <w:rsid w:val="35EC4160"/>
    <w:rsid w:val="35F44E5C"/>
    <w:rsid w:val="35F45994"/>
    <w:rsid w:val="35F72ED1"/>
    <w:rsid w:val="3602050E"/>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997C50"/>
    <w:rsid w:val="36B121C7"/>
    <w:rsid w:val="36B2486C"/>
    <w:rsid w:val="36D27C18"/>
    <w:rsid w:val="36D512A9"/>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C93B72"/>
    <w:rsid w:val="37F311D3"/>
    <w:rsid w:val="37F7242F"/>
    <w:rsid w:val="380579FE"/>
    <w:rsid w:val="380A2EB4"/>
    <w:rsid w:val="381D5340"/>
    <w:rsid w:val="381E2016"/>
    <w:rsid w:val="382150C9"/>
    <w:rsid w:val="382372FE"/>
    <w:rsid w:val="38284CDE"/>
    <w:rsid w:val="382F19E6"/>
    <w:rsid w:val="383B2EED"/>
    <w:rsid w:val="3840644E"/>
    <w:rsid w:val="384C2D57"/>
    <w:rsid w:val="3857529F"/>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2401F"/>
    <w:rsid w:val="38E46191"/>
    <w:rsid w:val="38F50C85"/>
    <w:rsid w:val="390550E8"/>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A1A60"/>
    <w:rsid w:val="39D27BBE"/>
    <w:rsid w:val="39D3749A"/>
    <w:rsid w:val="39DD49C2"/>
    <w:rsid w:val="39DD4ACE"/>
    <w:rsid w:val="39E70CEA"/>
    <w:rsid w:val="39EB6BE7"/>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333CFE"/>
    <w:rsid w:val="3B3A132E"/>
    <w:rsid w:val="3B456D7F"/>
    <w:rsid w:val="3B4910F6"/>
    <w:rsid w:val="3B5A754F"/>
    <w:rsid w:val="3B5E261D"/>
    <w:rsid w:val="3B616FBE"/>
    <w:rsid w:val="3B6C0658"/>
    <w:rsid w:val="3B6F5B73"/>
    <w:rsid w:val="3B7B1D0B"/>
    <w:rsid w:val="3B873119"/>
    <w:rsid w:val="3B9422BB"/>
    <w:rsid w:val="3BA35FC1"/>
    <w:rsid w:val="3BA566FD"/>
    <w:rsid w:val="3BA7008A"/>
    <w:rsid w:val="3BB47D9F"/>
    <w:rsid w:val="3BDE5F43"/>
    <w:rsid w:val="3BF10AAD"/>
    <w:rsid w:val="3C031F31"/>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15672"/>
    <w:rsid w:val="3CA41337"/>
    <w:rsid w:val="3CA95FB0"/>
    <w:rsid w:val="3CAA38C3"/>
    <w:rsid w:val="3CAC1109"/>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9E68D9"/>
    <w:rsid w:val="3EAC3BDD"/>
    <w:rsid w:val="3EB23A7C"/>
    <w:rsid w:val="3EB767A1"/>
    <w:rsid w:val="3ECF0F50"/>
    <w:rsid w:val="3ECF234A"/>
    <w:rsid w:val="3ED41752"/>
    <w:rsid w:val="3ED671CD"/>
    <w:rsid w:val="3EE14A57"/>
    <w:rsid w:val="3EE21263"/>
    <w:rsid w:val="3F144192"/>
    <w:rsid w:val="3F1E03E7"/>
    <w:rsid w:val="3F217DDA"/>
    <w:rsid w:val="3F441B08"/>
    <w:rsid w:val="3F473E52"/>
    <w:rsid w:val="3F4A4087"/>
    <w:rsid w:val="3F5361F5"/>
    <w:rsid w:val="3F69698A"/>
    <w:rsid w:val="3F7C5122"/>
    <w:rsid w:val="3F943DFF"/>
    <w:rsid w:val="3F952814"/>
    <w:rsid w:val="3FA41C63"/>
    <w:rsid w:val="3FAB3D87"/>
    <w:rsid w:val="3FAB41A2"/>
    <w:rsid w:val="3FAE47F6"/>
    <w:rsid w:val="3FB105F5"/>
    <w:rsid w:val="3FE210C1"/>
    <w:rsid w:val="3FEB1C22"/>
    <w:rsid w:val="3FED2E23"/>
    <w:rsid w:val="3FF44FD5"/>
    <w:rsid w:val="400A1CFC"/>
    <w:rsid w:val="403E5395"/>
    <w:rsid w:val="40400533"/>
    <w:rsid w:val="405A424E"/>
    <w:rsid w:val="406B6CE3"/>
    <w:rsid w:val="406D461C"/>
    <w:rsid w:val="406F7D87"/>
    <w:rsid w:val="40825FDB"/>
    <w:rsid w:val="40907287"/>
    <w:rsid w:val="409238E1"/>
    <w:rsid w:val="409238F2"/>
    <w:rsid w:val="40992F93"/>
    <w:rsid w:val="40AB3054"/>
    <w:rsid w:val="40BD153A"/>
    <w:rsid w:val="40C3250A"/>
    <w:rsid w:val="40C72A69"/>
    <w:rsid w:val="40CD7BD8"/>
    <w:rsid w:val="40CE24AF"/>
    <w:rsid w:val="40D07371"/>
    <w:rsid w:val="40D72999"/>
    <w:rsid w:val="40DF3ABC"/>
    <w:rsid w:val="40E87142"/>
    <w:rsid w:val="40F00A85"/>
    <w:rsid w:val="40F1013C"/>
    <w:rsid w:val="41053DED"/>
    <w:rsid w:val="412506DF"/>
    <w:rsid w:val="413B1BAB"/>
    <w:rsid w:val="413C43E0"/>
    <w:rsid w:val="414F41D7"/>
    <w:rsid w:val="414F7876"/>
    <w:rsid w:val="415800BF"/>
    <w:rsid w:val="415A0FEF"/>
    <w:rsid w:val="41653B51"/>
    <w:rsid w:val="416C15E7"/>
    <w:rsid w:val="416E039C"/>
    <w:rsid w:val="4171294E"/>
    <w:rsid w:val="417B11A7"/>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15DF8"/>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59073D"/>
    <w:rsid w:val="43610B50"/>
    <w:rsid w:val="4363090C"/>
    <w:rsid w:val="436A2192"/>
    <w:rsid w:val="438B6310"/>
    <w:rsid w:val="439C3431"/>
    <w:rsid w:val="439D0E7C"/>
    <w:rsid w:val="43A26A83"/>
    <w:rsid w:val="43D67A91"/>
    <w:rsid w:val="43E21F58"/>
    <w:rsid w:val="43E30134"/>
    <w:rsid w:val="43E35EF0"/>
    <w:rsid w:val="43F76F69"/>
    <w:rsid w:val="43F80A53"/>
    <w:rsid w:val="43FC0DB2"/>
    <w:rsid w:val="444109FB"/>
    <w:rsid w:val="444E22EA"/>
    <w:rsid w:val="44584267"/>
    <w:rsid w:val="446512CF"/>
    <w:rsid w:val="44705173"/>
    <w:rsid w:val="44740841"/>
    <w:rsid w:val="4476407C"/>
    <w:rsid w:val="447B4A66"/>
    <w:rsid w:val="447D4136"/>
    <w:rsid w:val="447F7082"/>
    <w:rsid w:val="448B5845"/>
    <w:rsid w:val="448C73DD"/>
    <w:rsid w:val="44907237"/>
    <w:rsid w:val="44953801"/>
    <w:rsid w:val="449D7968"/>
    <w:rsid w:val="44B53006"/>
    <w:rsid w:val="44BA1648"/>
    <w:rsid w:val="44BB150F"/>
    <w:rsid w:val="44C87C0F"/>
    <w:rsid w:val="44DF6F1B"/>
    <w:rsid w:val="44F3735F"/>
    <w:rsid w:val="45057AE8"/>
    <w:rsid w:val="45385EDA"/>
    <w:rsid w:val="453C2F6A"/>
    <w:rsid w:val="45446179"/>
    <w:rsid w:val="454E4F75"/>
    <w:rsid w:val="454E6B7A"/>
    <w:rsid w:val="4551463D"/>
    <w:rsid w:val="456C4CA4"/>
    <w:rsid w:val="457736FF"/>
    <w:rsid w:val="45790DCE"/>
    <w:rsid w:val="457E31A2"/>
    <w:rsid w:val="458B757C"/>
    <w:rsid w:val="458D354F"/>
    <w:rsid w:val="45917B8A"/>
    <w:rsid w:val="459F2381"/>
    <w:rsid w:val="45A663F1"/>
    <w:rsid w:val="45B64B84"/>
    <w:rsid w:val="45D52AA4"/>
    <w:rsid w:val="45E526A6"/>
    <w:rsid w:val="45E826B2"/>
    <w:rsid w:val="45F4334C"/>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DE7B35"/>
    <w:rsid w:val="46E1018C"/>
    <w:rsid w:val="46E53AB0"/>
    <w:rsid w:val="46F37479"/>
    <w:rsid w:val="46FC2FE8"/>
    <w:rsid w:val="47033281"/>
    <w:rsid w:val="47065799"/>
    <w:rsid w:val="47073BE8"/>
    <w:rsid w:val="47230376"/>
    <w:rsid w:val="47333B1B"/>
    <w:rsid w:val="47351654"/>
    <w:rsid w:val="473D0BD8"/>
    <w:rsid w:val="47457188"/>
    <w:rsid w:val="474E174B"/>
    <w:rsid w:val="47555092"/>
    <w:rsid w:val="47666951"/>
    <w:rsid w:val="47683159"/>
    <w:rsid w:val="477208BD"/>
    <w:rsid w:val="479D7800"/>
    <w:rsid w:val="47A12538"/>
    <w:rsid w:val="47BC3466"/>
    <w:rsid w:val="47D30FC3"/>
    <w:rsid w:val="47DD6A91"/>
    <w:rsid w:val="47EB0853"/>
    <w:rsid w:val="47F0198A"/>
    <w:rsid w:val="47FA20F9"/>
    <w:rsid w:val="47FF3A74"/>
    <w:rsid w:val="480B7A59"/>
    <w:rsid w:val="48111DC2"/>
    <w:rsid w:val="48156BFB"/>
    <w:rsid w:val="481C2840"/>
    <w:rsid w:val="482B39B5"/>
    <w:rsid w:val="482D350F"/>
    <w:rsid w:val="483C2A8C"/>
    <w:rsid w:val="48424FA1"/>
    <w:rsid w:val="484647AE"/>
    <w:rsid w:val="484F1901"/>
    <w:rsid w:val="48594C05"/>
    <w:rsid w:val="485D5413"/>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E041C5"/>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93C20"/>
    <w:rsid w:val="49DA3FD3"/>
    <w:rsid w:val="4A0573EC"/>
    <w:rsid w:val="4A06116C"/>
    <w:rsid w:val="4A070E8E"/>
    <w:rsid w:val="4A09499E"/>
    <w:rsid w:val="4A096C36"/>
    <w:rsid w:val="4A10565E"/>
    <w:rsid w:val="4A13060B"/>
    <w:rsid w:val="4A381BA6"/>
    <w:rsid w:val="4A3926E2"/>
    <w:rsid w:val="4A4172CE"/>
    <w:rsid w:val="4A43236C"/>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3EB4"/>
    <w:rsid w:val="4BDF4B49"/>
    <w:rsid w:val="4BE278B5"/>
    <w:rsid w:val="4BE57E16"/>
    <w:rsid w:val="4BE819D0"/>
    <w:rsid w:val="4BE8649D"/>
    <w:rsid w:val="4BF86642"/>
    <w:rsid w:val="4C0236B4"/>
    <w:rsid w:val="4C062DD7"/>
    <w:rsid w:val="4C192F75"/>
    <w:rsid w:val="4C1E085C"/>
    <w:rsid w:val="4C20259F"/>
    <w:rsid w:val="4C25666D"/>
    <w:rsid w:val="4C312ECF"/>
    <w:rsid w:val="4C422CA7"/>
    <w:rsid w:val="4C5035A1"/>
    <w:rsid w:val="4C5F0B5D"/>
    <w:rsid w:val="4C64471A"/>
    <w:rsid w:val="4C77619E"/>
    <w:rsid w:val="4C860543"/>
    <w:rsid w:val="4C8E48D8"/>
    <w:rsid w:val="4C974009"/>
    <w:rsid w:val="4CC17C3E"/>
    <w:rsid w:val="4CC42462"/>
    <w:rsid w:val="4CCD5921"/>
    <w:rsid w:val="4CD14F28"/>
    <w:rsid w:val="4CD550D5"/>
    <w:rsid w:val="4CDA21DD"/>
    <w:rsid w:val="4CF04CFC"/>
    <w:rsid w:val="4CF26BC3"/>
    <w:rsid w:val="4CFB51DB"/>
    <w:rsid w:val="4D0F1680"/>
    <w:rsid w:val="4D130357"/>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E1B63"/>
    <w:rsid w:val="4E0939E5"/>
    <w:rsid w:val="4E0A6290"/>
    <w:rsid w:val="4E176DF3"/>
    <w:rsid w:val="4E1A2F68"/>
    <w:rsid w:val="4E210A5C"/>
    <w:rsid w:val="4E313D0F"/>
    <w:rsid w:val="4E374BFB"/>
    <w:rsid w:val="4E3A2C21"/>
    <w:rsid w:val="4E4475F5"/>
    <w:rsid w:val="4E587463"/>
    <w:rsid w:val="4E68543B"/>
    <w:rsid w:val="4E694E99"/>
    <w:rsid w:val="4E795FE9"/>
    <w:rsid w:val="4E797F06"/>
    <w:rsid w:val="4E876FE9"/>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6416B6"/>
    <w:rsid w:val="50752AF6"/>
    <w:rsid w:val="508431ED"/>
    <w:rsid w:val="509F1AB5"/>
    <w:rsid w:val="50AC0F46"/>
    <w:rsid w:val="50B139BD"/>
    <w:rsid w:val="50BD1498"/>
    <w:rsid w:val="50BE1B1D"/>
    <w:rsid w:val="50C51F05"/>
    <w:rsid w:val="50C65E30"/>
    <w:rsid w:val="50D228CF"/>
    <w:rsid w:val="50E63519"/>
    <w:rsid w:val="50ED76FB"/>
    <w:rsid w:val="50EE0687"/>
    <w:rsid w:val="51187610"/>
    <w:rsid w:val="51191CC9"/>
    <w:rsid w:val="51375EB3"/>
    <w:rsid w:val="513853CC"/>
    <w:rsid w:val="51392D77"/>
    <w:rsid w:val="513F081D"/>
    <w:rsid w:val="51431686"/>
    <w:rsid w:val="514C1E16"/>
    <w:rsid w:val="51556F97"/>
    <w:rsid w:val="515A64E3"/>
    <w:rsid w:val="515C30A6"/>
    <w:rsid w:val="5161698E"/>
    <w:rsid w:val="517F00BC"/>
    <w:rsid w:val="518F6BB3"/>
    <w:rsid w:val="51914126"/>
    <w:rsid w:val="5195533B"/>
    <w:rsid w:val="519D2F03"/>
    <w:rsid w:val="51A1385A"/>
    <w:rsid w:val="51BE2EAE"/>
    <w:rsid w:val="51DA5890"/>
    <w:rsid w:val="51EE7B3E"/>
    <w:rsid w:val="51F473EF"/>
    <w:rsid w:val="51F96848"/>
    <w:rsid w:val="51FE4A3E"/>
    <w:rsid w:val="51FF74A3"/>
    <w:rsid w:val="52073487"/>
    <w:rsid w:val="521C5D43"/>
    <w:rsid w:val="521D7ED7"/>
    <w:rsid w:val="5239194F"/>
    <w:rsid w:val="52521FD5"/>
    <w:rsid w:val="52612620"/>
    <w:rsid w:val="526A546C"/>
    <w:rsid w:val="52790FD9"/>
    <w:rsid w:val="528C5E23"/>
    <w:rsid w:val="52971FBA"/>
    <w:rsid w:val="529F0D9B"/>
    <w:rsid w:val="52B76FD3"/>
    <w:rsid w:val="52CA3D8F"/>
    <w:rsid w:val="52CD21D8"/>
    <w:rsid w:val="52CD6315"/>
    <w:rsid w:val="52CF0A4A"/>
    <w:rsid w:val="52DD5B35"/>
    <w:rsid w:val="52DF42EC"/>
    <w:rsid w:val="52E427EA"/>
    <w:rsid w:val="52EA3D63"/>
    <w:rsid w:val="52ED6986"/>
    <w:rsid w:val="52EF0051"/>
    <w:rsid w:val="52FC1C88"/>
    <w:rsid w:val="5301710F"/>
    <w:rsid w:val="53112C1D"/>
    <w:rsid w:val="53155215"/>
    <w:rsid w:val="531621BA"/>
    <w:rsid w:val="531D0F10"/>
    <w:rsid w:val="531F319F"/>
    <w:rsid w:val="533E0346"/>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C0313A"/>
    <w:rsid w:val="53D6650D"/>
    <w:rsid w:val="53DB35A3"/>
    <w:rsid w:val="53DC2808"/>
    <w:rsid w:val="53E07B00"/>
    <w:rsid w:val="54002BFD"/>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C3433"/>
    <w:rsid w:val="554E0863"/>
    <w:rsid w:val="555737A6"/>
    <w:rsid w:val="55611FED"/>
    <w:rsid w:val="556C1CC4"/>
    <w:rsid w:val="55712540"/>
    <w:rsid w:val="55776130"/>
    <w:rsid w:val="5577741D"/>
    <w:rsid w:val="558126EC"/>
    <w:rsid w:val="55883669"/>
    <w:rsid w:val="558A44CE"/>
    <w:rsid w:val="559537DA"/>
    <w:rsid w:val="55B403DD"/>
    <w:rsid w:val="55BC788E"/>
    <w:rsid w:val="55C0140E"/>
    <w:rsid w:val="55CF48E7"/>
    <w:rsid w:val="55D0342A"/>
    <w:rsid w:val="55D849A1"/>
    <w:rsid w:val="55E31A15"/>
    <w:rsid w:val="55E5367A"/>
    <w:rsid w:val="55F03258"/>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81C9E"/>
    <w:rsid w:val="57292292"/>
    <w:rsid w:val="572E7E52"/>
    <w:rsid w:val="573403E6"/>
    <w:rsid w:val="573459F0"/>
    <w:rsid w:val="573B3910"/>
    <w:rsid w:val="574460A0"/>
    <w:rsid w:val="57484376"/>
    <w:rsid w:val="574B4B12"/>
    <w:rsid w:val="57521AF7"/>
    <w:rsid w:val="575425F9"/>
    <w:rsid w:val="57702374"/>
    <w:rsid w:val="57780ED4"/>
    <w:rsid w:val="579A7C07"/>
    <w:rsid w:val="57A41DBC"/>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590DD2"/>
    <w:rsid w:val="5860138B"/>
    <w:rsid w:val="586E1447"/>
    <w:rsid w:val="5878285F"/>
    <w:rsid w:val="587E2D46"/>
    <w:rsid w:val="588509DD"/>
    <w:rsid w:val="58953B9F"/>
    <w:rsid w:val="58957A8C"/>
    <w:rsid w:val="589C0BA1"/>
    <w:rsid w:val="589F18E4"/>
    <w:rsid w:val="58A26665"/>
    <w:rsid w:val="58B156C4"/>
    <w:rsid w:val="58B8443B"/>
    <w:rsid w:val="58B908D6"/>
    <w:rsid w:val="58BC4002"/>
    <w:rsid w:val="58CC6D6B"/>
    <w:rsid w:val="58D63464"/>
    <w:rsid w:val="58DB456A"/>
    <w:rsid w:val="58E909DD"/>
    <w:rsid w:val="58EB1C90"/>
    <w:rsid w:val="58F57D12"/>
    <w:rsid w:val="59267EF0"/>
    <w:rsid w:val="59421F7E"/>
    <w:rsid w:val="59424509"/>
    <w:rsid w:val="594935F2"/>
    <w:rsid w:val="595C0946"/>
    <w:rsid w:val="59604A5E"/>
    <w:rsid w:val="59642A7A"/>
    <w:rsid w:val="596D32B4"/>
    <w:rsid w:val="59774D3E"/>
    <w:rsid w:val="599148CE"/>
    <w:rsid w:val="59915DC3"/>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76978"/>
    <w:rsid w:val="59FF2F18"/>
    <w:rsid w:val="5A0640DE"/>
    <w:rsid w:val="5A1215B1"/>
    <w:rsid w:val="5A1D0AF2"/>
    <w:rsid w:val="5A1F5196"/>
    <w:rsid w:val="5A227353"/>
    <w:rsid w:val="5A2D0557"/>
    <w:rsid w:val="5A2E4BBE"/>
    <w:rsid w:val="5A340B09"/>
    <w:rsid w:val="5A3E02F2"/>
    <w:rsid w:val="5A3F3527"/>
    <w:rsid w:val="5A440B9D"/>
    <w:rsid w:val="5A5009C0"/>
    <w:rsid w:val="5A5128C3"/>
    <w:rsid w:val="5A575C31"/>
    <w:rsid w:val="5A5C7772"/>
    <w:rsid w:val="5A6336A1"/>
    <w:rsid w:val="5A6B7C88"/>
    <w:rsid w:val="5A73612A"/>
    <w:rsid w:val="5A896627"/>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290C46"/>
    <w:rsid w:val="5B492D29"/>
    <w:rsid w:val="5B532679"/>
    <w:rsid w:val="5B5B64C5"/>
    <w:rsid w:val="5B627DC7"/>
    <w:rsid w:val="5B6C5737"/>
    <w:rsid w:val="5B76668C"/>
    <w:rsid w:val="5B8657DA"/>
    <w:rsid w:val="5B896F76"/>
    <w:rsid w:val="5B906344"/>
    <w:rsid w:val="5B975E5B"/>
    <w:rsid w:val="5B9C0984"/>
    <w:rsid w:val="5BA3762B"/>
    <w:rsid w:val="5BB214B7"/>
    <w:rsid w:val="5BBE6EBD"/>
    <w:rsid w:val="5BC113DA"/>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16FD6"/>
    <w:rsid w:val="5CC43404"/>
    <w:rsid w:val="5CC93DAE"/>
    <w:rsid w:val="5CD31EE3"/>
    <w:rsid w:val="5CE1654F"/>
    <w:rsid w:val="5D072BC8"/>
    <w:rsid w:val="5D076525"/>
    <w:rsid w:val="5D0A3A75"/>
    <w:rsid w:val="5D2809E1"/>
    <w:rsid w:val="5D2B5629"/>
    <w:rsid w:val="5D2E45E5"/>
    <w:rsid w:val="5D315CEB"/>
    <w:rsid w:val="5D3B59DF"/>
    <w:rsid w:val="5D440D30"/>
    <w:rsid w:val="5D473075"/>
    <w:rsid w:val="5D5830EC"/>
    <w:rsid w:val="5D5864DB"/>
    <w:rsid w:val="5D73393B"/>
    <w:rsid w:val="5D784379"/>
    <w:rsid w:val="5D7B3457"/>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F0687"/>
    <w:rsid w:val="5E783202"/>
    <w:rsid w:val="5E7842EE"/>
    <w:rsid w:val="5E9560A8"/>
    <w:rsid w:val="5EA648E2"/>
    <w:rsid w:val="5EB52E6F"/>
    <w:rsid w:val="5EC94A60"/>
    <w:rsid w:val="5ED95EEE"/>
    <w:rsid w:val="5EE07FE3"/>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CE544A"/>
    <w:rsid w:val="5FD20829"/>
    <w:rsid w:val="5FFE6C22"/>
    <w:rsid w:val="60000309"/>
    <w:rsid w:val="600B6B90"/>
    <w:rsid w:val="600C3224"/>
    <w:rsid w:val="600F6605"/>
    <w:rsid w:val="60143AD3"/>
    <w:rsid w:val="60281FCD"/>
    <w:rsid w:val="603771DA"/>
    <w:rsid w:val="60492E3D"/>
    <w:rsid w:val="60634A2F"/>
    <w:rsid w:val="60734371"/>
    <w:rsid w:val="6085543E"/>
    <w:rsid w:val="60907882"/>
    <w:rsid w:val="609517E9"/>
    <w:rsid w:val="609A2B73"/>
    <w:rsid w:val="60BA0952"/>
    <w:rsid w:val="60C5483E"/>
    <w:rsid w:val="60C867C5"/>
    <w:rsid w:val="60D139F9"/>
    <w:rsid w:val="60D3354A"/>
    <w:rsid w:val="60DB0800"/>
    <w:rsid w:val="60DE0DB6"/>
    <w:rsid w:val="60E54273"/>
    <w:rsid w:val="60F46839"/>
    <w:rsid w:val="61015694"/>
    <w:rsid w:val="61067A64"/>
    <w:rsid w:val="610C7D1D"/>
    <w:rsid w:val="6112529A"/>
    <w:rsid w:val="611F0B09"/>
    <w:rsid w:val="61200AAF"/>
    <w:rsid w:val="612D2321"/>
    <w:rsid w:val="61421C60"/>
    <w:rsid w:val="61455CF4"/>
    <w:rsid w:val="615055E7"/>
    <w:rsid w:val="616E223F"/>
    <w:rsid w:val="61751F59"/>
    <w:rsid w:val="617C28AF"/>
    <w:rsid w:val="61857054"/>
    <w:rsid w:val="61963257"/>
    <w:rsid w:val="619C38B4"/>
    <w:rsid w:val="61A4486B"/>
    <w:rsid w:val="61B33DDF"/>
    <w:rsid w:val="61BB4A1B"/>
    <w:rsid w:val="61BC23E5"/>
    <w:rsid w:val="61D21120"/>
    <w:rsid w:val="61E728F9"/>
    <w:rsid w:val="61F3667F"/>
    <w:rsid w:val="61FB110C"/>
    <w:rsid w:val="620B2B74"/>
    <w:rsid w:val="62185165"/>
    <w:rsid w:val="6224603C"/>
    <w:rsid w:val="623131E1"/>
    <w:rsid w:val="623D608D"/>
    <w:rsid w:val="62460FCD"/>
    <w:rsid w:val="62461162"/>
    <w:rsid w:val="62480FF0"/>
    <w:rsid w:val="624B14C1"/>
    <w:rsid w:val="62630C6B"/>
    <w:rsid w:val="627301E8"/>
    <w:rsid w:val="6280138A"/>
    <w:rsid w:val="6280604D"/>
    <w:rsid w:val="6295194F"/>
    <w:rsid w:val="62991510"/>
    <w:rsid w:val="62BA3B2B"/>
    <w:rsid w:val="62C37511"/>
    <w:rsid w:val="62C73BDF"/>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3DCF"/>
    <w:rsid w:val="63C54411"/>
    <w:rsid w:val="63CD27C8"/>
    <w:rsid w:val="63CF2629"/>
    <w:rsid w:val="63D40E51"/>
    <w:rsid w:val="63D56223"/>
    <w:rsid w:val="63E263F4"/>
    <w:rsid w:val="63E418C9"/>
    <w:rsid w:val="640C3AEA"/>
    <w:rsid w:val="643F3FFC"/>
    <w:rsid w:val="646C4EF1"/>
    <w:rsid w:val="64706C6F"/>
    <w:rsid w:val="648B777B"/>
    <w:rsid w:val="64937D17"/>
    <w:rsid w:val="6494650D"/>
    <w:rsid w:val="649A6134"/>
    <w:rsid w:val="649D2569"/>
    <w:rsid w:val="64A51362"/>
    <w:rsid w:val="64A55A03"/>
    <w:rsid w:val="64B23D7F"/>
    <w:rsid w:val="64B453B1"/>
    <w:rsid w:val="64BE5702"/>
    <w:rsid w:val="64CD68EB"/>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6C22D3"/>
    <w:rsid w:val="6570700F"/>
    <w:rsid w:val="65797273"/>
    <w:rsid w:val="657B05D3"/>
    <w:rsid w:val="657F0CE6"/>
    <w:rsid w:val="65833C4F"/>
    <w:rsid w:val="658B37B6"/>
    <w:rsid w:val="659C17EE"/>
    <w:rsid w:val="65B40820"/>
    <w:rsid w:val="65BA7DBF"/>
    <w:rsid w:val="65BD3777"/>
    <w:rsid w:val="65D70270"/>
    <w:rsid w:val="66032E7B"/>
    <w:rsid w:val="66053581"/>
    <w:rsid w:val="660A19B0"/>
    <w:rsid w:val="661002E8"/>
    <w:rsid w:val="661026AA"/>
    <w:rsid w:val="661177DB"/>
    <w:rsid w:val="661C2B82"/>
    <w:rsid w:val="661C7D88"/>
    <w:rsid w:val="663D054E"/>
    <w:rsid w:val="66460692"/>
    <w:rsid w:val="6662594A"/>
    <w:rsid w:val="6679372B"/>
    <w:rsid w:val="667B3C56"/>
    <w:rsid w:val="668A6C2F"/>
    <w:rsid w:val="66980BF6"/>
    <w:rsid w:val="66B35222"/>
    <w:rsid w:val="66B81454"/>
    <w:rsid w:val="66BE1292"/>
    <w:rsid w:val="66BF76F1"/>
    <w:rsid w:val="66D5086B"/>
    <w:rsid w:val="66DA3497"/>
    <w:rsid w:val="66DC5BF8"/>
    <w:rsid w:val="66E173F9"/>
    <w:rsid w:val="66E3226C"/>
    <w:rsid w:val="66E611A7"/>
    <w:rsid w:val="66E774AD"/>
    <w:rsid w:val="66EC287F"/>
    <w:rsid w:val="66EC5E36"/>
    <w:rsid w:val="66F17695"/>
    <w:rsid w:val="67181932"/>
    <w:rsid w:val="672A4901"/>
    <w:rsid w:val="6732525B"/>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26B82"/>
    <w:rsid w:val="67C56E1C"/>
    <w:rsid w:val="67C7427D"/>
    <w:rsid w:val="67CA7967"/>
    <w:rsid w:val="67CC38C5"/>
    <w:rsid w:val="67D9695E"/>
    <w:rsid w:val="67DC5CEA"/>
    <w:rsid w:val="67DF18A0"/>
    <w:rsid w:val="67E024C8"/>
    <w:rsid w:val="67E40B31"/>
    <w:rsid w:val="67F5522D"/>
    <w:rsid w:val="680965F8"/>
    <w:rsid w:val="681778E7"/>
    <w:rsid w:val="68240EAA"/>
    <w:rsid w:val="683D75A2"/>
    <w:rsid w:val="6850356A"/>
    <w:rsid w:val="685465AC"/>
    <w:rsid w:val="6866549A"/>
    <w:rsid w:val="686A150A"/>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C7724"/>
    <w:rsid w:val="696F3842"/>
    <w:rsid w:val="69731101"/>
    <w:rsid w:val="697D087B"/>
    <w:rsid w:val="698E7730"/>
    <w:rsid w:val="69A7770D"/>
    <w:rsid w:val="69AC0B64"/>
    <w:rsid w:val="69B27491"/>
    <w:rsid w:val="69B27C94"/>
    <w:rsid w:val="69BA2288"/>
    <w:rsid w:val="69BA712C"/>
    <w:rsid w:val="69D537ED"/>
    <w:rsid w:val="69D81857"/>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977C7"/>
    <w:rsid w:val="6A8C3EFF"/>
    <w:rsid w:val="6A9371B0"/>
    <w:rsid w:val="6A937D23"/>
    <w:rsid w:val="6A9B5915"/>
    <w:rsid w:val="6A9B7735"/>
    <w:rsid w:val="6AA258AD"/>
    <w:rsid w:val="6AB45A03"/>
    <w:rsid w:val="6ABE4FFD"/>
    <w:rsid w:val="6AC62D27"/>
    <w:rsid w:val="6AD6142A"/>
    <w:rsid w:val="6AE26C27"/>
    <w:rsid w:val="6AED013C"/>
    <w:rsid w:val="6AF159FF"/>
    <w:rsid w:val="6AF63F29"/>
    <w:rsid w:val="6AFF38FC"/>
    <w:rsid w:val="6B150AD8"/>
    <w:rsid w:val="6B285741"/>
    <w:rsid w:val="6B2E25B1"/>
    <w:rsid w:val="6B340EF1"/>
    <w:rsid w:val="6B3D06AC"/>
    <w:rsid w:val="6B410A8A"/>
    <w:rsid w:val="6B444BB7"/>
    <w:rsid w:val="6B4B2C3B"/>
    <w:rsid w:val="6B567E90"/>
    <w:rsid w:val="6B5B0A52"/>
    <w:rsid w:val="6B5D2504"/>
    <w:rsid w:val="6B6C560D"/>
    <w:rsid w:val="6B846AF2"/>
    <w:rsid w:val="6B95396B"/>
    <w:rsid w:val="6BBB00B1"/>
    <w:rsid w:val="6BBD3E9D"/>
    <w:rsid w:val="6BC03721"/>
    <w:rsid w:val="6BC054EA"/>
    <w:rsid w:val="6BC66928"/>
    <w:rsid w:val="6BCA5D1D"/>
    <w:rsid w:val="6BCC01D5"/>
    <w:rsid w:val="6BCF2DCA"/>
    <w:rsid w:val="6BDC2139"/>
    <w:rsid w:val="6BDD0493"/>
    <w:rsid w:val="6BDE54AC"/>
    <w:rsid w:val="6BE068F6"/>
    <w:rsid w:val="6BF229CE"/>
    <w:rsid w:val="6BF25C39"/>
    <w:rsid w:val="6BF52D4E"/>
    <w:rsid w:val="6C06150E"/>
    <w:rsid w:val="6C155F31"/>
    <w:rsid w:val="6C194207"/>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8A7838"/>
    <w:rsid w:val="6D925740"/>
    <w:rsid w:val="6D9E7C69"/>
    <w:rsid w:val="6DA71839"/>
    <w:rsid w:val="6DB20233"/>
    <w:rsid w:val="6DC54D30"/>
    <w:rsid w:val="6DDF0294"/>
    <w:rsid w:val="6DEB2527"/>
    <w:rsid w:val="6DF6740D"/>
    <w:rsid w:val="6DFB06CC"/>
    <w:rsid w:val="6E035B81"/>
    <w:rsid w:val="6E044D86"/>
    <w:rsid w:val="6E0F0D37"/>
    <w:rsid w:val="6E0F320E"/>
    <w:rsid w:val="6E131686"/>
    <w:rsid w:val="6E1B4CD0"/>
    <w:rsid w:val="6E294BEF"/>
    <w:rsid w:val="6E2A0DD8"/>
    <w:rsid w:val="6E376A3A"/>
    <w:rsid w:val="6E3F1C0F"/>
    <w:rsid w:val="6E567CD0"/>
    <w:rsid w:val="6E61430C"/>
    <w:rsid w:val="6E633CB5"/>
    <w:rsid w:val="6E72570E"/>
    <w:rsid w:val="6E9679F1"/>
    <w:rsid w:val="6EA76DF2"/>
    <w:rsid w:val="6EAB29FB"/>
    <w:rsid w:val="6EB32B7F"/>
    <w:rsid w:val="6EB46F18"/>
    <w:rsid w:val="6EB63507"/>
    <w:rsid w:val="6EBD4DFF"/>
    <w:rsid w:val="6EC73357"/>
    <w:rsid w:val="6ED266F7"/>
    <w:rsid w:val="6ED91F94"/>
    <w:rsid w:val="6EE939F2"/>
    <w:rsid w:val="6F021829"/>
    <w:rsid w:val="6F28474F"/>
    <w:rsid w:val="6F2B1966"/>
    <w:rsid w:val="6F350882"/>
    <w:rsid w:val="6F384951"/>
    <w:rsid w:val="6F607895"/>
    <w:rsid w:val="6F61040C"/>
    <w:rsid w:val="6F6776E1"/>
    <w:rsid w:val="6F702CF5"/>
    <w:rsid w:val="6F7E1B78"/>
    <w:rsid w:val="6F9C5D71"/>
    <w:rsid w:val="6FA3781E"/>
    <w:rsid w:val="6FAA67FE"/>
    <w:rsid w:val="6FAF5C06"/>
    <w:rsid w:val="6FB80EE8"/>
    <w:rsid w:val="6FD36624"/>
    <w:rsid w:val="6FE53444"/>
    <w:rsid w:val="6FEC4532"/>
    <w:rsid w:val="6FF1528E"/>
    <w:rsid w:val="700C0460"/>
    <w:rsid w:val="70170F2B"/>
    <w:rsid w:val="701E2FAB"/>
    <w:rsid w:val="701E5396"/>
    <w:rsid w:val="702267D2"/>
    <w:rsid w:val="7029035E"/>
    <w:rsid w:val="703369E6"/>
    <w:rsid w:val="70370653"/>
    <w:rsid w:val="70387A8F"/>
    <w:rsid w:val="70494D08"/>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0F52E24"/>
    <w:rsid w:val="710151C1"/>
    <w:rsid w:val="710B03C6"/>
    <w:rsid w:val="710D695E"/>
    <w:rsid w:val="710D79BB"/>
    <w:rsid w:val="71196240"/>
    <w:rsid w:val="711C6EC1"/>
    <w:rsid w:val="711D17DA"/>
    <w:rsid w:val="712D2ADB"/>
    <w:rsid w:val="712D4159"/>
    <w:rsid w:val="71346CB6"/>
    <w:rsid w:val="7136388E"/>
    <w:rsid w:val="714200B6"/>
    <w:rsid w:val="71431855"/>
    <w:rsid w:val="7143374A"/>
    <w:rsid w:val="715117C4"/>
    <w:rsid w:val="71536701"/>
    <w:rsid w:val="715D365A"/>
    <w:rsid w:val="715D7038"/>
    <w:rsid w:val="716A160C"/>
    <w:rsid w:val="716B5F96"/>
    <w:rsid w:val="716B69ED"/>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20041D2"/>
    <w:rsid w:val="72056436"/>
    <w:rsid w:val="720979A0"/>
    <w:rsid w:val="720F633E"/>
    <w:rsid w:val="72130B93"/>
    <w:rsid w:val="721C688B"/>
    <w:rsid w:val="723749D7"/>
    <w:rsid w:val="724E54F1"/>
    <w:rsid w:val="726B5B97"/>
    <w:rsid w:val="727334E4"/>
    <w:rsid w:val="72772DDB"/>
    <w:rsid w:val="727B2E39"/>
    <w:rsid w:val="72827328"/>
    <w:rsid w:val="728B509F"/>
    <w:rsid w:val="728F0A31"/>
    <w:rsid w:val="72A310CE"/>
    <w:rsid w:val="72A65376"/>
    <w:rsid w:val="72B751B8"/>
    <w:rsid w:val="72BA36EB"/>
    <w:rsid w:val="72CE3184"/>
    <w:rsid w:val="72CE7D06"/>
    <w:rsid w:val="72D456A5"/>
    <w:rsid w:val="72E01A3B"/>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8B3C80"/>
    <w:rsid w:val="73912A81"/>
    <w:rsid w:val="73996C2D"/>
    <w:rsid w:val="739B1EFF"/>
    <w:rsid w:val="73A16D22"/>
    <w:rsid w:val="73B1400F"/>
    <w:rsid w:val="73BA064C"/>
    <w:rsid w:val="73BB3C6E"/>
    <w:rsid w:val="73CE1997"/>
    <w:rsid w:val="73DE1AB7"/>
    <w:rsid w:val="73EC7C9D"/>
    <w:rsid w:val="7407051F"/>
    <w:rsid w:val="741076D1"/>
    <w:rsid w:val="74215D04"/>
    <w:rsid w:val="742A0965"/>
    <w:rsid w:val="742D6DB6"/>
    <w:rsid w:val="743A4A01"/>
    <w:rsid w:val="744642D9"/>
    <w:rsid w:val="744C30C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6C1808"/>
    <w:rsid w:val="757540E3"/>
    <w:rsid w:val="75816E2E"/>
    <w:rsid w:val="75857514"/>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9A2484"/>
    <w:rsid w:val="76B153BA"/>
    <w:rsid w:val="76C72CA0"/>
    <w:rsid w:val="76C77EA3"/>
    <w:rsid w:val="76ED0EF4"/>
    <w:rsid w:val="76F2295F"/>
    <w:rsid w:val="76F50A9F"/>
    <w:rsid w:val="76FD2D1D"/>
    <w:rsid w:val="77165248"/>
    <w:rsid w:val="77187F65"/>
    <w:rsid w:val="7729766A"/>
    <w:rsid w:val="772D35A6"/>
    <w:rsid w:val="773A62B8"/>
    <w:rsid w:val="77422DC5"/>
    <w:rsid w:val="774A39B5"/>
    <w:rsid w:val="774B3934"/>
    <w:rsid w:val="777B5F51"/>
    <w:rsid w:val="777D53E6"/>
    <w:rsid w:val="77847A56"/>
    <w:rsid w:val="778F0D7D"/>
    <w:rsid w:val="778F49BD"/>
    <w:rsid w:val="77941916"/>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9C0845"/>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2648"/>
    <w:rsid w:val="795A5499"/>
    <w:rsid w:val="796E35F2"/>
    <w:rsid w:val="7971290E"/>
    <w:rsid w:val="797951A9"/>
    <w:rsid w:val="797C53B4"/>
    <w:rsid w:val="797D6440"/>
    <w:rsid w:val="798D7D34"/>
    <w:rsid w:val="7990174F"/>
    <w:rsid w:val="79A15149"/>
    <w:rsid w:val="79A37CCA"/>
    <w:rsid w:val="79BF2784"/>
    <w:rsid w:val="79C24EDF"/>
    <w:rsid w:val="79C95AED"/>
    <w:rsid w:val="79D50B63"/>
    <w:rsid w:val="79E12ED9"/>
    <w:rsid w:val="79E352FF"/>
    <w:rsid w:val="79E9023D"/>
    <w:rsid w:val="79ED6701"/>
    <w:rsid w:val="79FA109A"/>
    <w:rsid w:val="79FB2D0B"/>
    <w:rsid w:val="7A052E17"/>
    <w:rsid w:val="7A0F152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DE351A"/>
    <w:rsid w:val="7AEA5252"/>
    <w:rsid w:val="7B023A51"/>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4C39C2"/>
    <w:rsid w:val="7C610C91"/>
    <w:rsid w:val="7C613AEC"/>
    <w:rsid w:val="7C64201D"/>
    <w:rsid w:val="7C734075"/>
    <w:rsid w:val="7C7C6B89"/>
    <w:rsid w:val="7C815D2A"/>
    <w:rsid w:val="7C831756"/>
    <w:rsid w:val="7CA67728"/>
    <w:rsid w:val="7CB62523"/>
    <w:rsid w:val="7CE70935"/>
    <w:rsid w:val="7CF142D6"/>
    <w:rsid w:val="7CF84A31"/>
    <w:rsid w:val="7CFC44C2"/>
    <w:rsid w:val="7D013B39"/>
    <w:rsid w:val="7D0826CA"/>
    <w:rsid w:val="7D130509"/>
    <w:rsid w:val="7D182D5A"/>
    <w:rsid w:val="7D1946C0"/>
    <w:rsid w:val="7D2A5CCB"/>
    <w:rsid w:val="7D381F29"/>
    <w:rsid w:val="7D401C68"/>
    <w:rsid w:val="7D401CAA"/>
    <w:rsid w:val="7D4E195B"/>
    <w:rsid w:val="7D64087E"/>
    <w:rsid w:val="7D7A555A"/>
    <w:rsid w:val="7D7F5298"/>
    <w:rsid w:val="7D811243"/>
    <w:rsid w:val="7D8362BA"/>
    <w:rsid w:val="7DAB10BD"/>
    <w:rsid w:val="7DD7657D"/>
    <w:rsid w:val="7DF464FC"/>
    <w:rsid w:val="7E006A11"/>
    <w:rsid w:val="7E054F9B"/>
    <w:rsid w:val="7E0846A6"/>
    <w:rsid w:val="7E1C55F3"/>
    <w:rsid w:val="7E2E7D3F"/>
    <w:rsid w:val="7E32211E"/>
    <w:rsid w:val="7E347694"/>
    <w:rsid w:val="7E3B5911"/>
    <w:rsid w:val="7E495416"/>
    <w:rsid w:val="7E497873"/>
    <w:rsid w:val="7E573082"/>
    <w:rsid w:val="7E750E81"/>
    <w:rsid w:val="7E9044A6"/>
    <w:rsid w:val="7E922E52"/>
    <w:rsid w:val="7E9D61CC"/>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3C52BC"/>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_Header"/>
    <w:basedOn w:val="1"/>
    <w:qFormat/>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eastAsia="Times New Roman"/>
      <w:b/>
      <w:sz w:val="24"/>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2022-01-10T14:14:36Z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